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1065FD" w:rsidRPr="001065FD" w:rsidTr="001065FD">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1065FD" w:rsidRPr="001065FD">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065FD" w:rsidRPr="001065FD" w:rsidRDefault="001065FD" w:rsidP="001065FD">
                  <w:pPr>
                    <w:spacing w:after="0" w:line="240" w:lineRule="atLeast"/>
                    <w:rPr>
                      <w:rFonts w:ascii="Times New Roman" w:eastAsia="Times New Roman" w:hAnsi="Times New Roman" w:cs="Times New Roman"/>
                      <w:sz w:val="24"/>
                      <w:szCs w:val="24"/>
                    </w:rPr>
                  </w:pPr>
                  <w:r w:rsidRPr="001065FD">
                    <w:rPr>
                      <w:rFonts w:ascii="Arial" w:eastAsia="Times New Roman" w:hAnsi="Arial" w:cs="Arial"/>
                      <w:sz w:val="16"/>
                      <w:szCs w:val="16"/>
                    </w:rPr>
                    <w:t>7 Haziran</w:t>
                  </w:r>
                  <w:r w:rsidRPr="001065FD">
                    <w:rPr>
                      <w:rFonts w:ascii="Arial" w:eastAsia="Times New Roman" w:hAnsi="Arial" w:cs="Arial"/>
                      <w:sz w:val="16"/>
                    </w:rPr>
                    <w:t> 2014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065FD" w:rsidRPr="001065FD" w:rsidRDefault="001065FD" w:rsidP="001065FD">
                  <w:pPr>
                    <w:spacing w:after="0" w:line="240" w:lineRule="atLeast"/>
                    <w:jc w:val="center"/>
                    <w:rPr>
                      <w:rFonts w:ascii="Times New Roman" w:eastAsia="Times New Roman" w:hAnsi="Times New Roman" w:cs="Times New Roman"/>
                      <w:sz w:val="24"/>
                      <w:szCs w:val="24"/>
                    </w:rPr>
                  </w:pPr>
                  <w:r w:rsidRPr="001065FD">
                    <w:rPr>
                      <w:rFonts w:ascii="Palatino Linotype" w:eastAsia="Times New Roman" w:hAnsi="Palatino Linotype" w:cs="Times New Roman"/>
                      <w:b/>
                      <w:bCs/>
                      <w:color w:val="800080"/>
                      <w:sz w:val="24"/>
                      <w:szCs w:val="24"/>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065FD" w:rsidRPr="001065FD" w:rsidRDefault="001065FD" w:rsidP="001065FD">
                  <w:pPr>
                    <w:spacing w:before="100" w:beforeAutospacing="1" w:after="100" w:afterAutospacing="1" w:line="240" w:lineRule="auto"/>
                    <w:jc w:val="right"/>
                    <w:rPr>
                      <w:rFonts w:ascii="Times New Roman" w:eastAsia="Times New Roman" w:hAnsi="Times New Roman" w:cs="Times New Roman"/>
                      <w:sz w:val="24"/>
                      <w:szCs w:val="24"/>
                    </w:rPr>
                  </w:pPr>
                  <w:r w:rsidRPr="001065FD">
                    <w:rPr>
                      <w:rFonts w:ascii="Arial" w:eastAsia="Times New Roman" w:hAnsi="Arial" w:cs="Arial"/>
                      <w:sz w:val="16"/>
                      <w:szCs w:val="16"/>
                    </w:rPr>
                    <w:t>Sayı : 29023</w:t>
                  </w:r>
                </w:p>
              </w:tc>
            </w:tr>
            <w:tr w:rsidR="001065FD" w:rsidRPr="001065FD">
              <w:trPr>
                <w:trHeight w:val="480"/>
                <w:jc w:val="center"/>
              </w:trPr>
              <w:tc>
                <w:tcPr>
                  <w:tcW w:w="8789" w:type="dxa"/>
                  <w:gridSpan w:val="3"/>
                  <w:tcMar>
                    <w:top w:w="0" w:type="dxa"/>
                    <w:left w:w="108" w:type="dxa"/>
                    <w:bottom w:w="0" w:type="dxa"/>
                    <w:right w:w="108" w:type="dxa"/>
                  </w:tcMar>
                  <w:vAlign w:val="center"/>
                  <w:hideMark/>
                </w:tcPr>
                <w:p w:rsidR="001065FD" w:rsidRPr="001065FD" w:rsidRDefault="001065FD" w:rsidP="001065FD">
                  <w:pPr>
                    <w:spacing w:before="100" w:beforeAutospacing="1" w:after="100" w:afterAutospacing="1" w:line="240" w:lineRule="auto"/>
                    <w:jc w:val="center"/>
                    <w:rPr>
                      <w:rFonts w:ascii="Times New Roman" w:eastAsia="Times New Roman" w:hAnsi="Times New Roman" w:cs="Times New Roman"/>
                      <w:sz w:val="24"/>
                      <w:szCs w:val="24"/>
                    </w:rPr>
                  </w:pPr>
                  <w:r w:rsidRPr="001065FD">
                    <w:rPr>
                      <w:rFonts w:ascii="Arial" w:eastAsia="Times New Roman" w:hAnsi="Arial" w:cs="Arial"/>
                      <w:b/>
                      <w:bCs/>
                      <w:color w:val="000080"/>
                      <w:sz w:val="18"/>
                      <w:szCs w:val="18"/>
                    </w:rPr>
                    <w:t>YÖNETMELİK</w:t>
                  </w:r>
                </w:p>
              </w:tc>
            </w:tr>
            <w:tr w:rsidR="001065FD" w:rsidRPr="001065FD">
              <w:trPr>
                <w:trHeight w:val="480"/>
                <w:jc w:val="center"/>
              </w:trPr>
              <w:tc>
                <w:tcPr>
                  <w:tcW w:w="8789" w:type="dxa"/>
                  <w:gridSpan w:val="3"/>
                  <w:tcMar>
                    <w:top w:w="0" w:type="dxa"/>
                    <w:left w:w="108" w:type="dxa"/>
                    <w:bottom w:w="0" w:type="dxa"/>
                    <w:right w:w="108" w:type="dxa"/>
                  </w:tcMar>
                  <w:vAlign w:val="center"/>
                  <w:hideMark/>
                </w:tcPr>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Kamu İhale Kurumundan:</w:t>
                  </w:r>
                </w:p>
                <w:p w:rsidR="001065FD" w:rsidRPr="001065FD" w:rsidRDefault="001065FD" w:rsidP="001065FD">
                  <w:pPr>
                    <w:spacing w:before="100" w:beforeAutospacing="1" w:after="100" w:afterAutospacing="1" w:line="240" w:lineRule="atLeast"/>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ELEKTRONİK İHALE UYGULAMA YÖNETMELİĞİNDE</w:t>
                  </w:r>
                </w:p>
                <w:p w:rsidR="001065FD" w:rsidRPr="001065FD" w:rsidRDefault="001065FD" w:rsidP="001065FD">
                  <w:pPr>
                    <w:spacing w:before="100" w:beforeAutospacing="1" w:after="100" w:afterAutospacing="1" w:line="240" w:lineRule="atLeast"/>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DEĞİŞİKLİK YAPILMASINA DAİR YÖNETMELİK</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1 –</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sz w:val="18"/>
                    </w:rPr>
                    <w:t>25/2/2011 </w:t>
                  </w:r>
                  <w:r w:rsidRPr="001065FD">
                    <w:rPr>
                      <w:rFonts w:ascii="Times New Roman" w:eastAsia="Times New Roman" w:hAnsi="Times New Roman" w:cs="Times New Roman"/>
                      <w:sz w:val="18"/>
                      <w:szCs w:val="18"/>
                    </w:rPr>
                    <w:t>tarihli ve 27857 sayılı Resmî Gazete’de yayımlanan Elektronik İhale Uygulama Yönetmeliğinin 3 üncü maddesinin birinci fıkrasına aşağıdaki bent eklenmiştir.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“ı) İş günü: Ulusal bayram ve genel tatil günleri ile hafta tatili günleri dışında kalan ve idari izin günlerini de kapsayan günleri,”</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2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Aynı Yönetmeliğin 4 üncü maddesinin üçüncü fıkrasının ilk cümlesi aşağıdaki şekilde değiştirilmiştir.</w:t>
                  </w:r>
                </w:p>
                <w:p w:rsidR="001065FD" w:rsidRPr="001065FD" w:rsidRDefault="001065FD" w:rsidP="001065FD">
                  <w:pPr>
                    <w:spacing w:before="100" w:beforeAutospacing="1" w:after="100" w:afterAutospacing="1" w:line="240" w:lineRule="atLeast"/>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“İdareler ve ihaleye katılmak isteyen Türkiye Cumhuriyeti vatandaşı gerçek kişiler ile Türkiye Cumhuriyeti kanunlarına göre kurulmuş tüzel kişiler</w:t>
                  </w:r>
                  <w:r w:rsidRPr="001065FD">
                    <w:rPr>
                      <w:rFonts w:ascii="Times New Roman" w:eastAsia="Times New Roman" w:hAnsi="Times New Roman" w:cs="Times New Roman"/>
                      <w:sz w:val="18"/>
                    </w:rPr>
                    <w:t> EKAP’a </w:t>
                  </w:r>
                  <w:r w:rsidRPr="001065FD">
                    <w:rPr>
                      <w:rFonts w:ascii="Times New Roman" w:eastAsia="Times New Roman" w:hAnsi="Times New Roman" w:cs="Times New Roman"/>
                      <w:sz w:val="18"/>
                      <w:szCs w:val="18"/>
                    </w:rPr>
                    <w:t>kayıt olmak zorundadır.”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3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Aynı Yönetmeliğin 5 inci maddesi aşağıdaki şekilde değiştirilmiştir.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5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(1) Kurum ve idareler tarafından aday, istekli ve istekli olabileceklere EKAP üzerinden yapılacak tebligatlarda, teyit aranmaz ve tebligat sürecine ilişkin bildirim zamanı, konusu ve içeriği gibi bilgiler EKAP üzerinde kayıt altına alınır. Bu kapsamda, her türlü bilginin muhafazası ve bildiriminde; veri bütünlüğünün, kolay erişilebilirliğin, uyumluluğun ve eşit muamelenin sağlanması zorunludur.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(2) EKAP üzerinden yapılan tebligatlarda bildirim tarihi tebliğ tarihi sayılır. Tebligatın aday, istekli ve istekli olabileceğe ait</w:t>
                  </w:r>
                  <w:r w:rsidRPr="001065FD">
                    <w:rPr>
                      <w:rFonts w:ascii="Times New Roman" w:eastAsia="Times New Roman" w:hAnsi="Times New Roman" w:cs="Times New Roman"/>
                      <w:sz w:val="18"/>
                    </w:rPr>
                    <w:t> EKAP’ta </w:t>
                  </w:r>
                  <w:r w:rsidRPr="001065FD">
                    <w:rPr>
                      <w:rFonts w:ascii="Times New Roman" w:eastAsia="Times New Roman" w:hAnsi="Times New Roman" w:cs="Times New Roman"/>
                      <w:sz w:val="18"/>
                      <w:szCs w:val="18"/>
                    </w:rPr>
                    <w:t>yer alan bildirim kutusuna ulaştığı tarih, bildirim tarihi olarak kabul edilir. İdarelerce, EKAP üzerinden tebligat işlemleri iş günü ve mesai saatlerine bağlı kalınmaksızın her zaman gerçekleştirilebilir. Ancak, tebligatın EKAP tarafından aday, istekli ve istekli olabileceklere bildirimi her koşulda iş günlerinde ve 9.00-18.00 saatleri arasında yapılır.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(3) Aday, istekli ve istekli olabilecekler tarafından idare ile yapılacak yazışmalarda elektronik ortam ve faks kullanılamaz. Ancak, idare tarafından dokümanın posta veya kargo yoluyla satılmasının öngörülmesi halinde, doküman satın almaya ilişkin talepler faksla veya postayla bildirilebilir.”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4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Aynı Yönetmeliğin 16</w:t>
                  </w:r>
                  <w:r w:rsidRPr="001065FD">
                    <w:rPr>
                      <w:rFonts w:ascii="Times New Roman" w:eastAsia="Times New Roman" w:hAnsi="Times New Roman" w:cs="Times New Roman"/>
                      <w:sz w:val="18"/>
                    </w:rPr>
                    <w:t> ncı </w:t>
                  </w:r>
                  <w:r w:rsidRPr="001065FD">
                    <w:rPr>
                      <w:rFonts w:ascii="Times New Roman" w:eastAsia="Times New Roman" w:hAnsi="Times New Roman" w:cs="Times New Roman"/>
                      <w:sz w:val="18"/>
                      <w:szCs w:val="18"/>
                    </w:rPr>
                    <w:t>maddesine aşağıdaki birinci fıkra eklenmiş, diğer fıkraları buna göre teselsül ettirilmiş ve mevcut altıncı fıkrasında yer alan “Birinci ve üçüncü fıkra uyarınca doküman” ibaresi “Doküman” olarak değiştirilmiştir.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“(1) Ön yeterlik dokümanı veya ihale dokümanı satın alınabilmesi için adına doküman satın alınacak Türkiye Cumhuriyeti kanunlarına göre kurulmuş tüzel kişiler ile Türkiye Cumhuriyeti vatandaşı gerçek kişilerin</w:t>
                  </w:r>
                  <w:r w:rsidRPr="001065FD">
                    <w:rPr>
                      <w:rFonts w:ascii="Times New Roman" w:eastAsia="Times New Roman" w:hAnsi="Times New Roman" w:cs="Times New Roman"/>
                      <w:sz w:val="18"/>
                    </w:rPr>
                    <w:t> EKAP’a </w:t>
                  </w:r>
                  <w:r w:rsidRPr="001065FD">
                    <w:rPr>
                      <w:rFonts w:ascii="Times New Roman" w:eastAsia="Times New Roman" w:hAnsi="Times New Roman" w:cs="Times New Roman"/>
                      <w:sz w:val="18"/>
                      <w:szCs w:val="18"/>
                    </w:rPr>
                    <w:t>kayıtlı olması zorunludur. Ortak girişimlerde ise Türkiye Cumhuriyeti kanunlarına göre kurulmuş tüzel kişi ve Türkiye Cumhuriyeti vatandaşı gerçek kişi ortakların tamamının bu koşulu sağlaması gerekir.”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5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Aynı Yönetmeliğin 17</w:t>
                  </w:r>
                  <w:r w:rsidRPr="001065FD">
                    <w:rPr>
                      <w:rFonts w:ascii="Times New Roman" w:eastAsia="Times New Roman" w:hAnsi="Times New Roman" w:cs="Times New Roman"/>
                      <w:sz w:val="18"/>
                    </w:rPr>
                    <w:t> nci </w:t>
                  </w:r>
                  <w:r w:rsidRPr="001065FD">
                    <w:rPr>
                      <w:rFonts w:ascii="Times New Roman" w:eastAsia="Times New Roman" w:hAnsi="Times New Roman" w:cs="Times New Roman"/>
                      <w:sz w:val="18"/>
                      <w:szCs w:val="18"/>
                    </w:rPr>
                    <w:t>maddesinin birinci ve üçüncü fıkraları aşağıdaki şekilde değiştirilmiştir.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“(1) İhale veya ön yeterlik dokümanında değişiklik yapılması halinde, düzenlenen zeyilname</w:t>
                  </w:r>
                  <w:r w:rsidRPr="001065FD">
                    <w:rPr>
                      <w:rFonts w:ascii="Times New Roman" w:eastAsia="Times New Roman" w:hAnsi="Times New Roman" w:cs="Times New Roman"/>
                      <w:sz w:val="18"/>
                    </w:rPr>
                    <w:t> EKAP’a</w:t>
                  </w:r>
                  <w:r w:rsidRPr="001065FD">
                    <w:rPr>
                      <w:rFonts w:ascii="Times New Roman" w:eastAsia="Times New Roman" w:hAnsi="Times New Roman" w:cs="Times New Roman"/>
                      <w:sz w:val="18"/>
                      <w:szCs w:val="18"/>
                    </w:rPr>
                    <w:t>kaydedilir ve kayıt zamanına kadar dokümanı satın alanlar ile e-imza kullanarak dokümanı indirmiş olan Türkiye Cumhuriyeti vatandaşı gerçek kişiler ile Türkiye Cumhuriyeti kanunlarına göre kurulmuş tüzel kişilere EKAP üzerinden bildirilir.”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lastRenderedPageBreak/>
                    <w:t>“(3) Kanunun 29 uncu maddesine göre açıklama yapılması halinde; yapılan açıklamalar</w:t>
                  </w:r>
                  <w:r w:rsidRPr="001065FD">
                    <w:rPr>
                      <w:rFonts w:ascii="Times New Roman" w:eastAsia="Times New Roman" w:hAnsi="Times New Roman" w:cs="Times New Roman"/>
                      <w:sz w:val="18"/>
                    </w:rPr>
                    <w:t> EKAP’a </w:t>
                  </w:r>
                  <w:r w:rsidRPr="001065FD">
                    <w:rPr>
                      <w:rFonts w:ascii="Times New Roman" w:eastAsia="Times New Roman" w:hAnsi="Times New Roman" w:cs="Times New Roman"/>
                      <w:sz w:val="18"/>
                      <w:szCs w:val="18"/>
                    </w:rPr>
                    <w:t>kaydedilir ve kayıt zamanına kadar dokümanı satın alanlar ile e-imza kullanarak dokümanı indirmiş olan Türkiye Cumhuriyeti vatandaşı gerçek kişiler ile Türkiye Cumhuriyeti kanunlarına göre kurulmuş tüzel kişilere EKAP üzerinden bildirilir.”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6 –</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sz w:val="18"/>
                      <w:szCs w:val="18"/>
                    </w:rPr>
                    <w:t>Aynı Yönetmeliğin eki Ek-1’de yer alan KİK004.1/EKAP sayılı Tekliflerin Elektronik Ortamda Alındığı İhalelerde EKAP Üzerinden e-imza Kullanılarak Dokümanın İndirildiğine İlişkin Form, Ek-</w:t>
                  </w:r>
                  <w:r w:rsidRPr="001065FD">
                    <w:rPr>
                      <w:rFonts w:ascii="Times New Roman" w:eastAsia="Times New Roman" w:hAnsi="Times New Roman" w:cs="Times New Roman"/>
                      <w:sz w:val="18"/>
                    </w:rPr>
                    <w:t>A’daki </w:t>
                  </w:r>
                  <w:r w:rsidRPr="001065FD">
                    <w:rPr>
                      <w:rFonts w:ascii="Times New Roman" w:eastAsia="Times New Roman" w:hAnsi="Times New Roman" w:cs="Times New Roman"/>
                      <w:sz w:val="18"/>
                      <w:szCs w:val="18"/>
                    </w:rPr>
                    <w:t>şekilde değiştirilmiştir.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7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Aynı Yönetmeliğin eki Ek-1’de yer alan KİK004.2/EKAP sayılı Doküman Satın Alındığına İlişkin Form, Ek-</w:t>
                  </w:r>
                  <w:r w:rsidRPr="001065FD">
                    <w:rPr>
                      <w:rFonts w:ascii="Times New Roman" w:eastAsia="Times New Roman" w:hAnsi="Times New Roman" w:cs="Times New Roman"/>
                      <w:sz w:val="18"/>
                    </w:rPr>
                    <w:t>B’deki </w:t>
                  </w:r>
                  <w:r w:rsidRPr="001065FD">
                    <w:rPr>
                      <w:rFonts w:ascii="Times New Roman" w:eastAsia="Times New Roman" w:hAnsi="Times New Roman" w:cs="Times New Roman"/>
                      <w:sz w:val="18"/>
                      <w:szCs w:val="18"/>
                    </w:rPr>
                    <w:t>şekilde değiştirilmiştir.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rPr>
                    <w:t>MADDE 8 – </w:t>
                  </w:r>
                  <w:r w:rsidRPr="001065FD">
                    <w:rPr>
                      <w:rFonts w:ascii="Times New Roman" w:eastAsia="Times New Roman" w:hAnsi="Times New Roman" w:cs="Times New Roman"/>
                      <w:sz w:val="18"/>
                    </w:rPr>
                    <w:t>Aynı Yönetmeliğin eki Ek-1’de yer alan KİK015.4/EKAP-M sayılı Götürü Bedel Teklif Mektubu ile KİK015.5/EKAP-M sayılı Birim Fiyat Teklif Mektubu Formlarında yer alan “Tebligat Adresi” ibaresi “Adresi” olarak değiştirilmiş, “e-posta adresi” ibaresi ile 3 üncü ve 5 inci maddeleri yürürlükten kaldırılmıştır.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9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Aynı Yönetmeliğe aşağıdaki geçici madde eklenmiştir.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“Geçiş hükümleri</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GEÇİCİ MADDE 3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(1) Bu maddenin yürürlüğe girdiği tarihten önce ilanı veya yazılı olarak duyurusu yapılmış olan ihaleler, ilanın veya duyurunun yapıldığı tarihte yürürlükte olan Yönetmelik hükümlerine göre sonuçlandırılır.”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10 –</w:t>
                  </w:r>
                  <w:r w:rsidRPr="001065FD">
                    <w:rPr>
                      <w:rFonts w:ascii="Times New Roman" w:eastAsia="Times New Roman" w:hAnsi="Times New Roman" w:cs="Times New Roman"/>
                      <w:sz w:val="18"/>
                    </w:rPr>
                    <w:t> </w:t>
                  </w:r>
                  <w:r w:rsidRPr="001065FD">
                    <w:rPr>
                      <w:rFonts w:ascii="Times New Roman" w:eastAsia="Times New Roman" w:hAnsi="Times New Roman" w:cs="Times New Roman"/>
                      <w:sz w:val="18"/>
                      <w:szCs w:val="18"/>
                    </w:rPr>
                    <w:t>Bu Yönetmelik</w:t>
                  </w:r>
                  <w:r w:rsidRPr="001065FD">
                    <w:rPr>
                      <w:rFonts w:ascii="Times New Roman" w:eastAsia="Times New Roman" w:hAnsi="Times New Roman" w:cs="Times New Roman"/>
                      <w:sz w:val="18"/>
                    </w:rPr>
                    <w:t> 1/1/2015 </w:t>
                  </w:r>
                  <w:r w:rsidRPr="001065FD">
                    <w:rPr>
                      <w:rFonts w:ascii="Times New Roman" w:eastAsia="Times New Roman" w:hAnsi="Times New Roman" w:cs="Times New Roman"/>
                      <w:sz w:val="18"/>
                      <w:szCs w:val="18"/>
                    </w:rPr>
                    <w:t>tarihinde yürürlüğe girer.</w:t>
                  </w:r>
                </w:p>
                <w:p w:rsidR="001065FD" w:rsidRPr="001065FD" w:rsidRDefault="001065FD" w:rsidP="001065FD">
                  <w:pPr>
                    <w:spacing w:before="100" w:beforeAutospacing="1" w:after="100" w:afterAutospacing="1" w:line="240" w:lineRule="atLeast"/>
                    <w:ind w:firstLine="566"/>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MADDE 11 –</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sz w:val="18"/>
                      <w:szCs w:val="18"/>
                    </w:rPr>
                    <w:t>Bu Yönetmelik hükümlerini Kamu İhale Kurumu Başkanı yürütür.</w:t>
                  </w:r>
                </w:p>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 </w:t>
                  </w:r>
                </w:p>
                <w:tbl>
                  <w:tblPr>
                    <w:tblW w:w="8505" w:type="dxa"/>
                    <w:jc w:val="center"/>
                    <w:tblCellMar>
                      <w:left w:w="0" w:type="dxa"/>
                      <w:right w:w="0" w:type="dxa"/>
                    </w:tblCellMar>
                    <w:tblLook w:val="04A0"/>
                  </w:tblPr>
                  <w:tblGrid>
                    <w:gridCol w:w="437"/>
                    <w:gridCol w:w="3817"/>
                    <w:gridCol w:w="4251"/>
                  </w:tblGrid>
                  <w:tr w:rsidR="001065FD" w:rsidRPr="001065FD">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Y</w:t>
                        </w:r>
                        <w:r w:rsidRPr="001065FD">
                          <w:rPr>
                            <w:rFonts w:ascii="Times" w:eastAsia="Times New Roman" w:hAnsi="Times" w:cs="Times"/>
                            <w:b/>
                            <w:bCs/>
                            <w:sz w:val="18"/>
                            <w:szCs w:val="18"/>
                          </w:rPr>
                          <w:t>ö</w:t>
                        </w:r>
                        <w:r w:rsidRPr="001065FD">
                          <w:rPr>
                            <w:rFonts w:ascii="Times New Roman" w:eastAsia="Times New Roman" w:hAnsi="Times New Roman" w:cs="Times New Roman"/>
                            <w:b/>
                            <w:bCs/>
                            <w:sz w:val="18"/>
                            <w:szCs w:val="18"/>
                          </w:rPr>
                          <w:t>netmeli</w:t>
                        </w:r>
                        <w:r w:rsidRPr="001065FD">
                          <w:rPr>
                            <w:rFonts w:ascii="Times" w:eastAsia="Times New Roman" w:hAnsi="Times" w:cs="Times"/>
                            <w:b/>
                            <w:bCs/>
                            <w:sz w:val="18"/>
                            <w:szCs w:val="18"/>
                          </w:rPr>
                          <w:t>ğ</w:t>
                        </w:r>
                        <w:r w:rsidRPr="001065FD">
                          <w:rPr>
                            <w:rFonts w:ascii="Times New Roman" w:eastAsia="Times New Roman" w:hAnsi="Times New Roman" w:cs="Times New Roman"/>
                            <w:b/>
                            <w:bCs/>
                            <w:sz w:val="18"/>
                            <w:szCs w:val="18"/>
                          </w:rPr>
                          <w:t>in Yay</w:t>
                        </w:r>
                        <w:r w:rsidRPr="001065FD">
                          <w:rPr>
                            <w:rFonts w:ascii="Times" w:eastAsia="Times New Roman" w:hAnsi="Times" w:cs="Times"/>
                            <w:b/>
                            <w:bCs/>
                            <w:sz w:val="18"/>
                            <w:szCs w:val="18"/>
                          </w:rPr>
                          <w:t>ı</w:t>
                        </w:r>
                        <w:r w:rsidRPr="001065FD">
                          <w:rPr>
                            <w:rFonts w:ascii="Times New Roman" w:eastAsia="Times New Roman" w:hAnsi="Times New Roman" w:cs="Times New Roman"/>
                            <w:b/>
                            <w:bCs/>
                            <w:sz w:val="18"/>
                            <w:szCs w:val="18"/>
                          </w:rPr>
                          <w:t>mland</w:t>
                        </w:r>
                        <w:r w:rsidRPr="001065FD">
                          <w:rPr>
                            <w:rFonts w:ascii="Times" w:eastAsia="Times New Roman" w:hAnsi="Times" w:cs="Times"/>
                            <w:b/>
                            <w:bCs/>
                            <w:sz w:val="18"/>
                            <w:szCs w:val="18"/>
                          </w:rPr>
                          <w:t>ığı</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b/>
                            <w:bCs/>
                            <w:sz w:val="18"/>
                            <w:szCs w:val="18"/>
                          </w:rPr>
                          <w:t>Resm</w:t>
                        </w:r>
                        <w:r w:rsidRPr="001065FD">
                          <w:rPr>
                            <w:rFonts w:ascii="Times" w:eastAsia="Times New Roman" w:hAnsi="Times" w:cs="Times"/>
                            <w:b/>
                            <w:bCs/>
                            <w:sz w:val="18"/>
                            <w:szCs w:val="18"/>
                          </w:rPr>
                          <w:t>î</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b/>
                            <w:bCs/>
                            <w:sz w:val="18"/>
                            <w:szCs w:val="18"/>
                          </w:rPr>
                          <w:t>Gazete'nin</w:t>
                        </w:r>
                      </w:p>
                    </w:tc>
                  </w:tr>
                  <w:tr w:rsidR="001065FD" w:rsidRPr="001065FD">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Say</w:t>
                        </w:r>
                        <w:r w:rsidRPr="001065FD">
                          <w:rPr>
                            <w:rFonts w:ascii="Times" w:eastAsia="Times New Roman" w:hAnsi="Times" w:cs="Times"/>
                            <w:b/>
                            <w:bCs/>
                            <w:sz w:val="18"/>
                            <w:szCs w:val="18"/>
                          </w:rPr>
                          <w:t>ı</w:t>
                        </w:r>
                        <w:r w:rsidRPr="001065FD">
                          <w:rPr>
                            <w:rFonts w:ascii="Times New Roman" w:eastAsia="Times New Roman" w:hAnsi="Times New Roman" w:cs="Times New Roman"/>
                            <w:b/>
                            <w:bCs/>
                            <w:sz w:val="18"/>
                            <w:szCs w:val="18"/>
                          </w:rPr>
                          <w:t>s</w:t>
                        </w:r>
                        <w:r w:rsidRPr="001065FD">
                          <w:rPr>
                            <w:rFonts w:ascii="Times" w:eastAsia="Times New Roman" w:hAnsi="Times" w:cs="Times"/>
                            <w:b/>
                            <w:bCs/>
                            <w:sz w:val="18"/>
                            <w:szCs w:val="18"/>
                          </w:rPr>
                          <w:t>ı</w:t>
                        </w:r>
                      </w:p>
                    </w:tc>
                  </w:tr>
                  <w:tr w:rsidR="001065FD" w:rsidRPr="001065FD">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rPr>
                          <w:t>25/2/2011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27857</w:t>
                        </w:r>
                      </w:p>
                    </w:tc>
                  </w:tr>
                  <w:tr w:rsidR="001065FD" w:rsidRPr="001065FD">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Y</w:t>
                        </w:r>
                        <w:r w:rsidRPr="001065FD">
                          <w:rPr>
                            <w:rFonts w:ascii="Times" w:eastAsia="Times New Roman" w:hAnsi="Times" w:cs="Times"/>
                            <w:b/>
                            <w:bCs/>
                            <w:sz w:val="18"/>
                            <w:szCs w:val="18"/>
                          </w:rPr>
                          <w:t>ö</w:t>
                        </w:r>
                        <w:r w:rsidRPr="001065FD">
                          <w:rPr>
                            <w:rFonts w:ascii="Times New Roman" w:eastAsia="Times New Roman" w:hAnsi="Times New Roman" w:cs="Times New Roman"/>
                            <w:b/>
                            <w:bCs/>
                            <w:sz w:val="18"/>
                            <w:szCs w:val="18"/>
                          </w:rPr>
                          <w:t>netmelikte De</w:t>
                        </w:r>
                        <w:r w:rsidRPr="001065FD">
                          <w:rPr>
                            <w:rFonts w:ascii="Times" w:eastAsia="Times New Roman" w:hAnsi="Times" w:cs="Times"/>
                            <w:b/>
                            <w:bCs/>
                            <w:sz w:val="18"/>
                            <w:szCs w:val="18"/>
                          </w:rPr>
                          <w:t>ğ</w:t>
                        </w:r>
                        <w:r w:rsidRPr="001065FD">
                          <w:rPr>
                            <w:rFonts w:ascii="Times New Roman" w:eastAsia="Times New Roman" w:hAnsi="Times New Roman" w:cs="Times New Roman"/>
                            <w:b/>
                            <w:bCs/>
                            <w:sz w:val="18"/>
                            <w:szCs w:val="18"/>
                          </w:rPr>
                          <w:t>i</w:t>
                        </w:r>
                        <w:r w:rsidRPr="001065FD">
                          <w:rPr>
                            <w:rFonts w:ascii="Times" w:eastAsia="Times New Roman" w:hAnsi="Times" w:cs="Times"/>
                            <w:b/>
                            <w:bCs/>
                            <w:sz w:val="18"/>
                            <w:szCs w:val="18"/>
                          </w:rPr>
                          <w:t>ş</w:t>
                        </w:r>
                        <w:r w:rsidRPr="001065FD">
                          <w:rPr>
                            <w:rFonts w:ascii="Times New Roman" w:eastAsia="Times New Roman" w:hAnsi="Times New Roman" w:cs="Times New Roman"/>
                            <w:b/>
                            <w:bCs/>
                            <w:sz w:val="18"/>
                            <w:szCs w:val="18"/>
                          </w:rPr>
                          <w:t>iklik Yapan Y</w:t>
                        </w:r>
                        <w:r w:rsidRPr="001065FD">
                          <w:rPr>
                            <w:rFonts w:ascii="Times" w:eastAsia="Times New Roman" w:hAnsi="Times" w:cs="Times"/>
                            <w:b/>
                            <w:bCs/>
                            <w:sz w:val="18"/>
                            <w:szCs w:val="18"/>
                          </w:rPr>
                          <w:t>ö</w:t>
                        </w:r>
                        <w:r w:rsidRPr="001065FD">
                          <w:rPr>
                            <w:rFonts w:ascii="Times New Roman" w:eastAsia="Times New Roman" w:hAnsi="Times New Roman" w:cs="Times New Roman"/>
                            <w:b/>
                            <w:bCs/>
                            <w:sz w:val="18"/>
                            <w:szCs w:val="18"/>
                          </w:rPr>
                          <w:t>netmeliklerin Yay</w:t>
                        </w:r>
                        <w:r w:rsidRPr="001065FD">
                          <w:rPr>
                            <w:rFonts w:ascii="Times" w:eastAsia="Times New Roman" w:hAnsi="Times" w:cs="Times"/>
                            <w:b/>
                            <w:bCs/>
                            <w:sz w:val="18"/>
                            <w:szCs w:val="18"/>
                          </w:rPr>
                          <w:t>ı</w:t>
                        </w:r>
                        <w:r w:rsidRPr="001065FD">
                          <w:rPr>
                            <w:rFonts w:ascii="Times New Roman" w:eastAsia="Times New Roman" w:hAnsi="Times New Roman" w:cs="Times New Roman"/>
                            <w:b/>
                            <w:bCs/>
                            <w:sz w:val="18"/>
                            <w:szCs w:val="18"/>
                          </w:rPr>
                          <w:t>mland</w:t>
                        </w:r>
                        <w:r w:rsidRPr="001065FD">
                          <w:rPr>
                            <w:rFonts w:ascii="Times" w:eastAsia="Times New Roman" w:hAnsi="Times" w:cs="Times"/>
                            <w:b/>
                            <w:bCs/>
                            <w:sz w:val="18"/>
                            <w:szCs w:val="18"/>
                          </w:rPr>
                          <w:t>ığı</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b/>
                            <w:bCs/>
                            <w:sz w:val="18"/>
                            <w:szCs w:val="18"/>
                          </w:rPr>
                          <w:t>Resm</w:t>
                        </w:r>
                        <w:r w:rsidRPr="001065FD">
                          <w:rPr>
                            <w:rFonts w:ascii="Times" w:eastAsia="Times New Roman" w:hAnsi="Times" w:cs="Times"/>
                            <w:b/>
                            <w:bCs/>
                            <w:sz w:val="18"/>
                            <w:szCs w:val="18"/>
                          </w:rPr>
                          <w:t>î</w:t>
                        </w:r>
                        <w:r w:rsidRPr="001065FD">
                          <w:rPr>
                            <w:rFonts w:ascii="Times New Roman" w:eastAsia="Times New Roman" w:hAnsi="Times New Roman" w:cs="Times New Roman"/>
                            <w:b/>
                            <w:bCs/>
                            <w:sz w:val="18"/>
                          </w:rPr>
                          <w:t> </w:t>
                        </w:r>
                        <w:r w:rsidRPr="001065FD">
                          <w:rPr>
                            <w:rFonts w:ascii="Times New Roman" w:eastAsia="Times New Roman" w:hAnsi="Times New Roman" w:cs="Times New Roman"/>
                            <w:b/>
                            <w:bCs/>
                            <w:sz w:val="18"/>
                            <w:szCs w:val="18"/>
                          </w:rPr>
                          <w:t>Gazete'nin</w:t>
                        </w:r>
                      </w:p>
                    </w:tc>
                  </w:tr>
                  <w:tr w:rsidR="001065FD" w:rsidRPr="001065FD">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b/>
                            <w:bCs/>
                            <w:sz w:val="18"/>
                            <w:szCs w:val="18"/>
                          </w:rPr>
                          <w:t>Say</w:t>
                        </w:r>
                        <w:r w:rsidRPr="001065FD">
                          <w:rPr>
                            <w:rFonts w:ascii="Times" w:eastAsia="Times New Roman" w:hAnsi="Times" w:cs="Times"/>
                            <w:b/>
                            <w:bCs/>
                            <w:sz w:val="18"/>
                            <w:szCs w:val="18"/>
                          </w:rPr>
                          <w:t>ı</w:t>
                        </w:r>
                        <w:r w:rsidRPr="001065FD">
                          <w:rPr>
                            <w:rFonts w:ascii="Times New Roman" w:eastAsia="Times New Roman" w:hAnsi="Times New Roman" w:cs="Times New Roman"/>
                            <w:b/>
                            <w:bCs/>
                            <w:sz w:val="18"/>
                            <w:szCs w:val="18"/>
                          </w:rPr>
                          <w:t>s</w:t>
                        </w:r>
                        <w:r w:rsidRPr="001065FD">
                          <w:rPr>
                            <w:rFonts w:ascii="Times" w:eastAsia="Times New Roman" w:hAnsi="Times" w:cs="Times"/>
                            <w:b/>
                            <w:bCs/>
                            <w:sz w:val="18"/>
                            <w:szCs w:val="18"/>
                          </w:rPr>
                          <w:t>ı</w:t>
                        </w:r>
                      </w:p>
                    </w:tc>
                  </w:tr>
                  <w:tr w:rsidR="001065FD" w:rsidRPr="001065FD">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ind w:right="469"/>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rPr>
                          <w:t>20/3/2011</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27880</w:t>
                        </w:r>
                      </w:p>
                    </w:tc>
                  </w:tr>
                  <w:tr w:rsidR="001065FD" w:rsidRPr="001065FD">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ind w:right="469"/>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rPr>
                          <w:t>14/11/2012</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szCs w:val="18"/>
                          </w:rPr>
                          <w:t>28467</w:t>
                        </w:r>
                      </w:p>
                    </w:tc>
                  </w:tr>
                </w:tbl>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rPr>
                    <w:t> </w:t>
                  </w:r>
                </w:p>
                <w:p w:rsidR="001065FD" w:rsidRPr="001065FD" w:rsidRDefault="001065FD" w:rsidP="001065FD">
                  <w:pPr>
                    <w:spacing w:before="100" w:beforeAutospacing="1" w:after="100" w:afterAutospacing="1" w:line="240" w:lineRule="atLeast"/>
                    <w:jc w:val="center"/>
                    <w:rPr>
                      <w:rFonts w:ascii="Times New Roman" w:eastAsia="Times New Roman" w:hAnsi="Times New Roman" w:cs="Times New Roman"/>
                      <w:sz w:val="24"/>
                      <w:szCs w:val="24"/>
                    </w:rPr>
                  </w:pPr>
                  <w:r w:rsidRPr="001065FD">
                    <w:rPr>
                      <w:rFonts w:ascii="Times New Roman" w:eastAsia="Times New Roman" w:hAnsi="Times New Roman" w:cs="Times New Roman"/>
                      <w:sz w:val="18"/>
                    </w:rPr>
                    <w:t> </w:t>
                  </w:r>
                </w:p>
                <w:p w:rsidR="001065FD" w:rsidRPr="001065FD" w:rsidRDefault="001065FD" w:rsidP="001065FD">
                  <w:pPr>
                    <w:spacing w:before="100" w:beforeAutospacing="1" w:after="100" w:afterAutospacing="1" w:line="240" w:lineRule="atLeast"/>
                    <w:rPr>
                      <w:rFonts w:ascii="Times New Roman" w:eastAsia="Times New Roman" w:hAnsi="Times New Roman" w:cs="Times New Roman"/>
                      <w:sz w:val="24"/>
                      <w:szCs w:val="24"/>
                    </w:rPr>
                  </w:pPr>
                  <w:hyperlink r:id="rId4" w:history="1">
                    <w:r w:rsidRPr="001065FD">
                      <w:rPr>
                        <w:rFonts w:ascii="Times New Roman" w:eastAsia="Times New Roman" w:hAnsi="Times New Roman" w:cs="Times New Roman"/>
                        <w:b/>
                        <w:bCs/>
                        <w:color w:val="800080"/>
                        <w:sz w:val="18"/>
                      </w:rPr>
                      <w:t>Ekleri için tıklayınız.</w:t>
                    </w:r>
                  </w:hyperlink>
                </w:p>
                <w:p w:rsidR="001065FD" w:rsidRPr="001065FD" w:rsidRDefault="001065FD" w:rsidP="001065FD">
                  <w:pPr>
                    <w:spacing w:before="100" w:beforeAutospacing="1" w:after="100" w:afterAutospacing="1" w:line="240" w:lineRule="auto"/>
                    <w:jc w:val="center"/>
                    <w:rPr>
                      <w:rFonts w:ascii="Times New Roman" w:eastAsia="Times New Roman" w:hAnsi="Times New Roman" w:cs="Times New Roman"/>
                      <w:sz w:val="24"/>
                      <w:szCs w:val="24"/>
                    </w:rPr>
                  </w:pPr>
                  <w:r w:rsidRPr="001065FD">
                    <w:rPr>
                      <w:rFonts w:ascii="Arial" w:eastAsia="Times New Roman" w:hAnsi="Arial" w:cs="Arial"/>
                      <w:b/>
                      <w:bCs/>
                      <w:color w:val="000080"/>
                      <w:sz w:val="18"/>
                      <w:szCs w:val="18"/>
                    </w:rPr>
                    <w:t> </w:t>
                  </w:r>
                </w:p>
              </w:tc>
            </w:tr>
          </w:tbl>
          <w:p w:rsidR="001065FD" w:rsidRPr="001065FD" w:rsidRDefault="001065FD" w:rsidP="001065FD">
            <w:pPr>
              <w:spacing w:after="0" w:line="240" w:lineRule="auto"/>
              <w:rPr>
                <w:rFonts w:ascii="Times New Roman" w:eastAsia="Times New Roman" w:hAnsi="Times New Roman" w:cs="Times New Roman"/>
                <w:sz w:val="24"/>
                <w:szCs w:val="24"/>
              </w:rPr>
            </w:pPr>
          </w:p>
        </w:tc>
      </w:tr>
    </w:tbl>
    <w:p w:rsidR="001065FD" w:rsidRPr="001065FD" w:rsidRDefault="001065FD" w:rsidP="001065FD">
      <w:pPr>
        <w:spacing w:after="0" w:line="240" w:lineRule="auto"/>
        <w:jc w:val="center"/>
        <w:rPr>
          <w:rFonts w:ascii="Times New Roman" w:eastAsia="Times New Roman" w:hAnsi="Times New Roman" w:cs="Times New Roman"/>
          <w:color w:val="000000"/>
          <w:sz w:val="27"/>
          <w:szCs w:val="27"/>
        </w:rPr>
      </w:pPr>
      <w:r w:rsidRPr="001065FD">
        <w:rPr>
          <w:rFonts w:ascii="Times New Roman" w:eastAsia="Times New Roman" w:hAnsi="Times New Roman" w:cs="Times New Roman"/>
          <w:color w:val="000000"/>
          <w:sz w:val="27"/>
          <w:szCs w:val="27"/>
        </w:rPr>
        <w:lastRenderedPageBreak/>
        <w:t> </w:t>
      </w:r>
    </w:p>
    <w:p w:rsidR="00E10723" w:rsidRDefault="00E10723"/>
    <w:sectPr w:rsidR="00E10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1065FD"/>
    <w:rsid w:val="001065FD"/>
    <w:rsid w:val="00E1072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065FD"/>
  </w:style>
  <w:style w:type="character" w:customStyle="1" w:styleId="grame">
    <w:name w:val="grame"/>
    <w:basedOn w:val="VarsaylanParagrafYazTipi"/>
    <w:rsid w:val="001065FD"/>
  </w:style>
  <w:style w:type="paragraph" w:styleId="NormalWeb">
    <w:name w:val="Normal (Web)"/>
    <w:basedOn w:val="Normal"/>
    <w:uiPriority w:val="99"/>
    <w:unhideWhenUsed/>
    <w:rsid w:val="00106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slk">
    <w:name w:val="1-baslk"/>
    <w:basedOn w:val="Normal"/>
    <w:rsid w:val="00106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ortabaslk">
    <w:name w:val="2-ortabaslk"/>
    <w:basedOn w:val="Normal"/>
    <w:rsid w:val="00106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yaz"/>
    <w:basedOn w:val="Normal"/>
    <w:rsid w:val="001065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VarsaylanParagrafYazTipi"/>
    <w:rsid w:val="001065FD"/>
  </w:style>
  <w:style w:type="character" w:customStyle="1" w:styleId="normal1">
    <w:name w:val="normal1"/>
    <w:basedOn w:val="VarsaylanParagrafYazTipi"/>
    <w:rsid w:val="001065FD"/>
  </w:style>
  <w:style w:type="character" w:styleId="Kpr">
    <w:name w:val="Hyperlink"/>
    <w:basedOn w:val="VarsaylanParagrafYazTipi"/>
    <w:uiPriority w:val="99"/>
    <w:semiHidden/>
    <w:unhideWhenUsed/>
    <w:rsid w:val="001065FD"/>
    <w:rPr>
      <w:color w:val="0000FF"/>
      <w:u w:val="single"/>
    </w:rPr>
  </w:style>
</w:styles>
</file>

<file path=word/webSettings.xml><?xml version="1.0" encoding="utf-8"?>
<w:webSettings xmlns:r="http://schemas.openxmlformats.org/officeDocument/2006/relationships" xmlns:w="http://schemas.openxmlformats.org/wordprocessingml/2006/main">
  <w:divs>
    <w:div w:id="19339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06/20140607-6-1.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2014-06-08T08:18:00Z</dcterms:created>
  <dcterms:modified xsi:type="dcterms:W3CDTF">2014-06-08T08:18:00Z</dcterms:modified>
</cp:coreProperties>
</file>