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18F" w:rsidRDefault="00D1518F" w:rsidP="00D1518F">
      <w:pPr>
        <w:pStyle w:val="2-OrtaBaslk"/>
        <w:spacing w:line="240" w:lineRule="exact"/>
        <w:ind w:left="708" w:firstLine="708"/>
        <w:jc w:val="left"/>
        <w:rPr>
          <w:rFonts w:hAnsi="Times New Roman"/>
          <w:bCs/>
          <w:sz w:val="18"/>
          <w:szCs w:val="18"/>
        </w:rPr>
      </w:pPr>
      <w:bookmarkStart w:id="0" w:name="_GoBack"/>
      <w:bookmarkEnd w:id="0"/>
      <w:r>
        <w:rPr>
          <w:rFonts w:hAnsi="Times New Roman"/>
          <w:bCs/>
          <w:sz w:val="18"/>
          <w:szCs w:val="18"/>
        </w:rPr>
        <w:t>RESMİ GAZETE SAYISI:</w:t>
      </w:r>
      <w:r>
        <w:rPr>
          <w:rFonts w:hAnsi="Times New Roman"/>
          <w:bCs/>
          <w:sz w:val="18"/>
          <w:szCs w:val="18"/>
        </w:rPr>
        <w:tab/>
        <w:t>29</w:t>
      </w:r>
      <w:r w:rsidR="00AE7F65">
        <w:rPr>
          <w:rFonts w:hAnsi="Times New Roman"/>
          <w:bCs/>
          <w:sz w:val="18"/>
          <w:szCs w:val="18"/>
        </w:rPr>
        <w:t>384</w:t>
      </w:r>
      <w:r>
        <w:rPr>
          <w:rFonts w:hAnsi="Times New Roman"/>
          <w:bCs/>
          <w:sz w:val="18"/>
          <w:szCs w:val="18"/>
        </w:rPr>
        <w:tab/>
      </w:r>
      <w:r>
        <w:rPr>
          <w:rFonts w:hAnsi="Times New Roman"/>
          <w:bCs/>
          <w:sz w:val="18"/>
          <w:szCs w:val="18"/>
        </w:rPr>
        <w:tab/>
        <w:t>RESMİ GAZETE TARİHİ: 12.06.2015</w:t>
      </w:r>
    </w:p>
    <w:tbl>
      <w:tblPr>
        <w:tblW w:w="0" w:type="auto"/>
        <w:jc w:val="center"/>
        <w:tblInd w:w="108" w:type="dxa"/>
        <w:tblLook w:val="01E0" w:firstRow="1" w:lastRow="1" w:firstColumn="1" w:lastColumn="1" w:noHBand="0" w:noVBand="0"/>
      </w:tblPr>
      <w:tblGrid>
        <w:gridCol w:w="9104"/>
      </w:tblGrid>
      <w:tr w:rsidR="00125473" w:rsidRPr="00125473" w:rsidTr="00125473">
        <w:trPr>
          <w:jc w:val="center"/>
        </w:trPr>
        <w:tc>
          <w:tcPr>
            <w:tcW w:w="9104" w:type="dxa"/>
            <w:hideMark/>
          </w:tcPr>
          <w:p w:rsidR="00125473" w:rsidRPr="00125473" w:rsidRDefault="00125473">
            <w:pPr>
              <w:rPr>
                <w:sz w:val="24"/>
                <w:szCs w:val="24"/>
              </w:rPr>
            </w:pPr>
          </w:p>
          <w:tbl>
            <w:tblPr>
              <w:tblW w:w="8789" w:type="dxa"/>
              <w:jc w:val="center"/>
              <w:tblLook w:val="01E0" w:firstRow="1" w:lastRow="1" w:firstColumn="1" w:lastColumn="1" w:noHBand="0" w:noVBand="0"/>
            </w:tblPr>
            <w:tblGrid>
              <w:gridCol w:w="8789"/>
            </w:tblGrid>
            <w:tr w:rsidR="00125473" w:rsidRPr="00125473">
              <w:trPr>
                <w:trHeight w:val="480"/>
                <w:jc w:val="center"/>
              </w:trPr>
              <w:tc>
                <w:tcPr>
                  <w:tcW w:w="8789" w:type="dxa"/>
                  <w:vAlign w:val="center"/>
                  <w:hideMark/>
                </w:tcPr>
                <w:p w:rsidR="00125473" w:rsidRPr="00125473" w:rsidRDefault="00125473" w:rsidP="00125473">
                  <w:pPr>
                    <w:tabs>
                      <w:tab w:val="left" w:pos="566"/>
                    </w:tabs>
                    <w:spacing w:before="56" w:after="0" w:line="240" w:lineRule="exact"/>
                    <w:jc w:val="center"/>
                    <w:rPr>
                      <w:rFonts w:ascii="Times New Roman" w:eastAsia="Times New Roman" w:hAnsi="Times New Roman" w:cs="Times New Roman"/>
                      <w:b/>
                      <w:sz w:val="24"/>
                      <w:szCs w:val="24"/>
                      <w:lang w:eastAsia="tr-TR"/>
                    </w:rPr>
                  </w:pPr>
                  <w:r w:rsidRPr="00125473">
                    <w:rPr>
                      <w:rFonts w:ascii="Times New Roman" w:eastAsia="Times New Roman" w:hAnsi="Times New Roman" w:cs="Times New Roman"/>
                      <w:b/>
                      <w:sz w:val="24"/>
                      <w:szCs w:val="24"/>
                      <w:lang w:eastAsia="tr-TR"/>
                    </w:rPr>
                    <w:t>ÇERÇEVE ANLAŞMA İHALELERİ UYGULAMA YÖNETMELİĞİNDE</w:t>
                  </w:r>
                </w:p>
                <w:p w:rsidR="00125473" w:rsidRPr="00125473" w:rsidRDefault="00125473" w:rsidP="00125473">
                  <w:pPr>
                    <w:tabs>
                      <w:tab w:val="left" w:pos="566"/>
                    </w:tabs>
                    <w:spacing w:after="170" w:line="240" w:lineRule="exact"/>
                    <w:jc w:val="center"/>
                    <w:rPr>
                      <w:rFonts w:ascii="Times New Roman" w:eastAsia="Times New Roman" w:hAnsi="Times New Roman" w:cs="Times New Roman"/>
                      <w:b/>
                      <w:sz w:val="24"/>
                      <w:szCs w:val="24"/>
                      <w:lang w:eastAsia="tr-TR"/>
                    </w:rPr>
                  </w:pPr>
                  <w:r w:rsidRPr="00125473">
                    <w:rPr>
                      <w:rFonts w:ascii="Times New Roman" w:eastAsia="Times New Roman" w:hAnsi="Times New Roman" w:cs="Times New Roman"/>
                      <w:b/>
                      <w:sz w:val="24"/>
                      <w:szCs w:val="24"/>
                      <w:lang w:eastAsia="tr-TR"/>
                    </w:rPr>
                    <w:t>DEĞİŞİKLİK YAPILMASINA DAİR YÖNETMELİK</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1 –</w:t>
                  </w:r>
                  <w:r w:rsidRPr="00125473">
                    <w:rPr>
                      <w:rFonts w:ascii="Times New Roman" w:eastAsia="Times New Roman" w:hAnsi="Times New Roman" w:cs="Times New Roman"/>
                      <w:sz w:val="24"/>
                      <w:szCs w:val="24"/>
                      <w:lang w:eastAsia="tr-TR"/>
                    </w:rPr>
                    <w:t xml:space="preserve"> 4/3/2009 tarihli ve 27159 mükerrer sayılı Resmî Gazete’de yayımlanan Çerçeve Anlaşma İhaleleri Uygulama Yönetmeliğinin 4 üncü maddesine aşağıdaki fıkra eklenmiştir.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“(8) Tekliflerin elektronik ortamda alınmasına karar verilen münferit sözleşmelerde ise tebligat sadece EKAP üzerinden yapılır.”</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2 –</w:t>
                  </w:r>
                  <w:r w:rsidRPr="00125473">
                    <w:rPr>
                      <w:rFonts w:ascii="Times New Roman" w:eastAsia="Times New Roman" w:hAnsi="Times New Roman" w:cs="Times New Roman"/>
                      <w:sz w:val="24"/>
                      <w:szCs w:val="24"/>
                      <w:lang w:eastAsia="tr-TR"/>
                    </w:rPr>
                    <w:t>Aynı Yönetmeliğin eki Ek-1’de yer alan KİK015.0/Ç sayılı Çerçeve Anlaşma İçin Kesinleşen İhale Kararının Bildirilmesi Formunda yer alan “süresi içinde 4734 sayılı Kamu İhale Kanununun 54 ve 55 inci maddeleri uyarınca şikayet başvurusunda bulunulabilecektir.” ibaresi “……..</w:t>
                  </w:r>
                  <w:r w:rsidRPr="00125473">
                    <w:rPr>
                      <w:rFonts w:ascii="Times New Roman" w:eastAsia="Times New Roman" w:hAnsi="Times New Roman" w:cs="Times New Roman"/>
                      <w:sz w:val="24"/>
                      <w:szCs w:val="24"/>
                      <w:vertAlign w:val="superscript"/>
                      <w:lang w:eastAsia="tr-TR"/>
                    </w:rPr>
                    <w:t>3</w:t>
                  </w:r>
                  <w:r w:rsidRPr="00125473">
                    <w:rPr>
                      <w:rFonts w:ascii="Times New Roman" w:eastAsia="Times New Roman" w:hAnsi="Times New Roman" w:cs="Times New Roman"/>
                      <w:sz w:val="24"/>
                      <w:szCs w:val="24"/>
                      <w:lang w:eastAsia="tr-TR"/>
                    </w:rPr>
                    <w:t xml:space="preserve"> gün içinde [idaremize şikayet başvurusunda bulunulabilir</w:t>
                  </w:r>
                  <w:r w:rsidRPr="00125473">
                    <w:rPr>
                      <w:rFonts w:ascii="Times New Roman" w:eastAsia="Times New Roman" w:hAnsi="Times New Roman" w:cs="Times New Roman"/>
                      <w:sz w:val="24"/>
                      <w:szCs w:val="24"/>
                      <w:vertAlign w:val="superscript"/>
                      <w:lang w:eastAsia="tr-TR"/>
                    </w:rPr>
                    <w:t>4</w:t>
                  </w:r>
                  <w:r w:rsidRPr="00125473">
                    <w:rPr>
                      <w:rFonts w:ascii="Times New Roman" w:eastAsia="Times New Roman" w:hAnsi="Times New Roman" w:cs="Times New Roman"/>
                      <w:sz w:val="24"/>
                      <w:szCs w:val="24"/>
                      <w:lang w:eastAsia="tr-TR"/>
                    </w:rPr>
                    <w:t>/Kamu İhale Kurumuna itirazen şikayet başvurusunda bulunulabilir</w:t>
                  </w:r>
                  <w:r w:rsidRPr="00125473">
                    <w:rPr>
                      <w:rFonts w:ascii="Times New Roman" w:eastAsia="Times New Roman" w:hAnsi="Times New Roman" w:cs="Times New Roman"/>
                      <w:sz w:val="24"/>
                      <w:szCs w:val="24"/>
                      <w:vertAlign w:val="superscript"/>
                      <w:lang w:eastAsia="tr-TR"/>
                    </w:rPr>
                    <w:t>5</w:t>
                  </w:r>
                  <w:r w:rsidRPr="00125473">
                    <w:rPr>
                      <w:rFonts w:ascii="Times New Roman" w:eastAsia="Times New Roman" w:hAnsi="Times New Roman" w:cs="Times New Roman"/>
                      <w:sz w:val="24"/>
                      <w:szCs w:val="24"/>
                      <w:lang w:eastAsia="tr-TR"/>
                    </w:rPr>
                    <w:t>/ … …</w:t>
                  </w:r>
                  <w:r w:rsidRPr="00125473">
                    <w:rPr>
                      <w:rFonts w:ascii="Times New Roman" w:eastAsia="Times New Roman" w:hAnsi="Times New Roman" w:cs="Times New Roman"/>
                      <w:sz w:val="24"/>
                      <w:szCs w:val="24"/>
                      <w:vertAlign w:val="superscript"/>
                      <w:lang w:eastAsia="tr-TR"/>
                    </w:rPr>
                    <w:t>6</w:t>
                  </w:r>
                  <w:r w:rsidRPr="00125473">
                    <w:rPr>
                      <w:rFonts w:ascii="Times New Roman" w:eastAsia="Times New Roman" w:hAnsi="Times New Roman" w:cs="Times New Roman"/>
                      <w:sz w:val="24"/>
                      <w:szCs w:val="24"/>
                      <w:lang w:eastAsia="tr-TR"/>
                    </w:rPr>
                    <w:t xml:space="preserve"> İdare Mahkemelerinde dava açılabilir]</w:t>
                  </w:r>
                  <w:r w:rsidRPr="00125473">
                    <w:rPr>
                      <w:rFonts w:ascii="Times New Roman" w:eastAsia="Times New Roman" w:hAnsi="Times New Roman" w:cs="Times New Roman"/>
                      <w:sz w:val="24"/>
                      <w:szCs w:val="24"/>
                      <w:vertAlign w:val="superscript"/>
                      <w:lang w:eastAsia="tr-TR"/>
                    </w:rPr>
                    <w:t>7</w:t>
                  </w:r>
                  <w:r w:rsidRPr="00125473">
                    <w:rPr>
                      <w:rFonts w:ascii="Times New Roman" w:eastAsia="Times New Roman" w:hAnsi="Times New Roman" w:cs="Times New Roman"/>
                      <w:sz w:val="24"/>
                      <w:szCs w:val="24"/>
                      <w:lang w:eastAsia="tr-TR"/>
                    </w:rPr>
                    <w:t>.” şeklinde değiştirilmiş, buna bağlı olarak aşağıdaki (3), (4), (5), (6) ve (7) numaralı dipnotlar eklenmiştir. Aynı formda yer alan “Anılan” ibaresi “4734 sayılı” şeklinde değiştirilmiştir.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w:t>
                  </w:r>
                  <w:r w:rsidRPr="00125473">
                    <w:rPr>
                      <w:rFonts w:ascii="Times New Roman" w:eastAsia="Times New Roman" w:hAnsi="Times New Roman" w:cs="Times New Roman"/>
                      <w:sz w:val="24"/>
                      <w:szCs w:val="24"/>
                      <w:vertAlign w:val="superscript"/>
                      <w:lang w:eastAsia="tr-TR"/>
                    </w:rPr>
                    <w:t>3</w:t>
                  </w:r>
                  <w:r w:rsidRPr="00125473">
                    <w:rPr>
                      <w:rFonts w:ascii="Times New Roman" w:eastAsia="Times New Roman" w:hAnsi="Times New Roman" w:cs="Times New Roman"/>
                      <w:sz w:val="24"/>
                      <w:szCs w:val="24"/>
                      <w:lang w:eastAsia="tr-TR"/>
                    </w:rPr>
                    <w:t xml:space="preserve"> İdare tarafından ilgisine göre 4734 sayılı Kanunun 55 inci ve 56 ncımaddeleri ile İhalelere Yönelik Başvurular Hakkında Yönetmelikte belirtilen süreler veya 2577 sayılı İdari Yargılama Usulü Kanununda yer alan dava açma süresi dikkate alınarak yazılacaktır.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4</w:t>
                  </w:r>
                  <w:r w:rsidRPr="00125473">
                    <w:rPr>
                      <w:rFonts w:ascii="Times New Roman" w:eastAsia="Times New Roman" w:hAnsi="Times New Roman" w:cs="Times New Roman"/>
                      <w:sz w:val="24"/>
                      <w:szCs w:val="24"/>
                      <w:lang w:eastAsia="tr-TR"/>
                    </w:rPr>
                    <w:t xml:space="preserve"> 4734 sayılı Kanunun 55 inci maddesinde öngörülen idareye şikayet başvurusunun mümkün olduğu hallerde veya kısmi teklif verilmesine açık ihalelerde iptal edilen kısımların bulunması durumunda ihalede geçerli teklif kalmaması nedeniyle ya da ihalede geçerli teklif olmakla birlikte bazı tekliflerin değerlendirme dışı bırakılması nedeniyle ihalede rekabetin oluşmadığı ve/veya kaynakların etkin kullanımının gerçekleşmediği gerekçesiyle ilgili kısımlara ilişkin ihalenin iptal edildiği durumlarda bu seçenek yazılacaktır.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 xml:space="preserve">Ancak aktarılan gerekçe ile ihalenin iptal edildiği durumlarda, iptal işleminden önce herhangi bir şikayet başvurusunun olması halinde, başvuru veya teklifi değerlendirme dışı bırakılan aday veya isteklinin, teklifinin geçerli olduğuna ve bu nedenle ihalenin iptal edilmemesi gerektiğine yönelik olarak 4734 sayılı Kanunun 56 ncımaddesinin birinci fıkrasında öngörülen beş günlük süre içerisinde doğrudan Kuruma itirazen şikayet başvurusunda bulunması da mümkün olduğundan, madde metninin her iki seçeneği ve her iki seçeneğe ilişkin (3) numaralı dipnotta belirtilen süreleri içerecek şekilde yazılması gerekmektedir.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5</w:t>
                  </w:r>
                  <w:r w:rsidRPr="00125473">
                    <w:rPr>
                      <w:rFonts w:ascii="Times New Roman" w:eastAsia="Times New Roman" w:hAnsi="Times New Roman" w:cs="Times New Roman"/>
                      <w:sz w:val="24"/>
                      <w:szCs w:val="24"/>
                      <w:lang w:eastAsia="tr-TR"/>
                    </w:rPr>
                    <w:t xml:space="preserve"> Kısmi teklif verilmesine açık ihalelerde iptal edilen kısımların bulunması durumunda ilgili kısımlara ilişkin ihalenin iptali kararının herhangi bir şikayet veya itirazen şikayet başvurusu sonrasında alınması durumunda iptal edilen kısımlara yönelik başvurular bakımından bu seçenek yazılacaktır. İptal edilmeyen kısımlar bakımından yapılacak başvurular için (3) ve (4) numaralı dipnotlarda belirtilen hususlara uygun başvuru yolu ayrıca yazılacaktır.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6</w:t>
                  </w:r>
                  <w:r w:rsidRPr="00125473">
                    <w:rPr>
                      <w:rFonts w:ascii="Times New Roman" w:eastAsia="Times New Roman" w:hAnsi="Times New Roman" w:cs="Times New Roman"/>
                      <w:sz w:val="24"/>
                      <w:szCs w:val="24"/>
                      <w:lang w:eastAsia="tr-TR"/>
                    </w:rPr>
                    <w:t xml:space="preserve"> Kısmi teklif verilmesine açık ihalelerde iptal edilen kısımların bulunması durumunda ilgili kısımlara ilişkin ihalenin iptali kararı öncesinde herhangi bir şikayet veya itirazen şikayet başvurusu bulunmaması durumunda bu seçenek ve yetkili İdare Mahkemesi yazılacaktır. İptal edilmeyen kısımlar bakımından yapılacak başvurular için (3) ve (4) numaralı dipnotlarda belirtilen hususlara uygun başvuru yolu ayrıca yazılacaktır.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lastRenderedPageBreak/>
                    <w:t>7</w:t>
                  </w:r>
                  <w:r w:rsidRPr="00125473">
                    <w:rPr>
                      <w:rFonts w:ascii="Times New Roman" w:eastAsia="Times New Roman" w:hAnsi="Times New Roman" w:cs="Times New Roman"/>
                      <w:sz w:val="24"/>
                      <w:szCs w:val="24"/>
                      <w:lang w:eastAsia="tr-TR"/>
                    </w:rPr>
                    <w:t xml:space="preserve"> Kuruma yapılan itirazen şikayet başvurusu üzerine Kurul tarafından başvuru sahibinin teklifinin geçerli olduğuna dair düzeltici işlem kararının verildiği ancak idarenin ihalenin iptali kararını geri alarak düzeltici işlem kararının gereğini yerine getirmediği hallerde, ihalenin iptali kararına karşı yapılacak başvurular ile (4) ve (5) numaralı dipnotlarda belirtilen hallerin gerçekleşmediği durumlarda verilen ihalenin iptali kararlarına karşı yapılacak başvuruların doğrudan idari yargı mercilerine yapılması gerektiği belirtilecektir.”</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3 –</w:t>
                  </w:r>
                  <w:r w:rsidRPr="00125473">
                    <w:rPr>
                      <w:rFonts w:ascii="Times New Roman" w:eastAsia="Times New Roman" w:hAnsi="Times New Roman" w:cs="Times New Roman"/>
                      <w:sz w:val="24"/>
                      <w:szCs w:val="24"/>
                      <w:lang w:eastAsia="tr-TR"/>
                    </w:rPr>
                    <w:t xml:space="preserve">Aynı Yönetmeliğin eki Ek-1’de yer alan KİK016.0/Ç sayılı İhale İptal Kararının Bildirilmesi Formu ile KİK016.1/Ç sayılı Bütün Tekliflerin Reddedilmesi Sebebiyle İhalenin İptal Kararının Bildirilmesi Formunun son cümlesinden önce gelmek üzere aşağıdaki cümle ile buna bağlı (4), (5), (6), (7) ve (8) numaralı dipnotlar eklenmiştir. </w:t>
                  </w:r>
                </w:p>
                <w:p w:rsidR="00125473" w:rsidRPr="00125473" w:rsidRDefault="00125473" w:rsidP="00125473">
                  <w:pPr>
                    <w:tabs>
                      <w:tab w:val="left" w:pos="566"/>
                    </w:tabs>
                    <w:spacing w:after="0" w:line="240" w:lineRule="auto"/>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“Bu kararın bildiriminden itibaren ……..</w:t>
                  </w:r>
                  <w:r w:rsidRPr="00125473">
                    <w:rPr>
                      <w:rFonts w:ascii="Times New Roman" w:eastAsia="Times New Roman" w:hAnsi="Times New Roman" w:cs="Times New Roman"/>
                      <w:sz w:val="24"/>
                      <w:szCs w:val="24"/>
                      <w:vertAlign w:val="superscript"/>
                      <w:lang w:eastAsia="tr-TR"/>
                    </w:rPr>
                    <w:t>4</w:t>
                  </w:r>
                  <w:r w:rsidRPr="00125473">
                    <w:rPr>
                      <w:rFonts w:ascii="Times New Roman" w:eastAsia="Times New Roman" w:hAnsi="Times New Roman" w:cs="Times New Roman"/>
                      <w:sz w:val="24"/>
                      <w:szCs w:val="24"/>
                      <w:lang w:eastAsia="tr-TR"/>
                    </w:rPr>
                    <w:t xml:space="preserve"> gün içinde [idaremize şikayet başvurusunda bulunulabilir</w:t>
                  </w:r>
                  <w:r w:rsidRPr="00125473">
                    <w:rPr>
                      <w:rFonts w:ascii="Times New Roman" w:eastAsia="Times New Roman" w:hAnsi="Times New Roman" w:cs="Times New Roman"/>
                      <w:sz w:val="24"/>
                      <w:szCs w:val="24"/>
                      <w:vertAlign w:val="superscript"/>
                      <w:lang w:eastAsia="tr-TR"/>
                    </w:rPr>
                    <w:t>5</w:t>
                  </w:r>
                  <w:r w:rsidRPr="00125473">
                    <w:rPr>
                      <w:rFonts w:ascii="Times New Roman" w:eastAsia="Times New Roman" w:hAnsi="Times New Roman" w:cs="Times New Roman"/>
                      <w:sz w:val="24"/>
                      <w:szCs w:val="24"/>
                      <w:lang w:eastAsia="tr-TR"/>
                    </w:rPr>
                    <w:t>/Kamu İhale Kurumuna itirazen şikayet başvurusunda bulunulabilir</w:t>
                  </w:r>
                  <w:r w:rsidRPr="00125473">
                    <w:rPr>
                      <w:rFonts w:ascii="Times New Roman" w:eastAsia="Times New Roman" w:hAnsi="Times New Roman" w:cs="Times New Roman"/>
                      <w:sz w:val="24"/>
                      <w:szCs w:val="24"/>
                      <w:vertAlign w:val="superscript"/>
                      <w:lang w:eastAsia="tr-TR"/>
                    </w:rPr>
                    <w:t>6</w:t>
                  </w:r>
                  <w:r w:rsidRPr="00125473">
                    <w:rPr>
                      <w:rFonts w:ascii="Times New Roman" w:eastAsia="Times New Roman" w:hAnsi="Times New Roman" w:cs="Times New Roman"/>
                      <w:sz w:val="24"/>
                      <w:szCs w:val="24"/>
                      <w:lang w:eastAsia="tr-TR"/>
                    </w:rPr>
                    <w:t>/ … …</w:t>
                  </w:r>
                  <w:r w:rsidRPr="00125473">
                    <w:rPr>
                      <w:rFonts w:ascii="Times New Roman" w:eastAsia="Times New Roman" w:hAnsi="Times New Roman" w:cs="Times New Roman"/>
                      <w:sz w:val="24"/>
                      <w:szCs w:val="24"/>
                      <w:vertAlign w:val="superscript"/>
                      <w:lang w:eastAsia="tr-TR"/>
                    </w:rPr>
                    <w:t>7</w:t>
                  </w:r>
                  <w:r w:rsidRPr="00125473">
                    <w:rPr>
                      <w:rFonts w:ascii="Times New Roman" w:eastAsia="Times New Roman" w:hAnsi="Times New Roman" w:cs="Times New Roman"/>
                      <w:sz w:val="24"/>
                      <w:szCs w:val="24"/>
                      <w:lang w:eastAsia="tr-TR"/>
                    </w:rPr>
                    <w:t xml:space="preserve"> İdare Mahkemelerinde dava açılabilir]</w:t>
                  </w:r>
                  <w:r w:rsidRPr="00125473">
                    <w:rPr>
                      <w:rFonts w:ascii="Times New Roman" w:eastAsia="Times New Roman" w:hAnsi="Times New Roman" w:cs="Times New Roman"/>
                      <w:sz w:val="24"/>
                      <w:szCs w:val="24"/>
                      <w:vertAlign w:val="superscript"/>
                      <w:lang w:eastAsia="tr-TR"/>
                    </w:rPr>
                    <w:t>8</w:t>
                  </w:r>
                  <w:r w:rsidRPr="00125473">
                    <w:rPr>
                      <w:rFonts w:ascii="Times New Roman" w:eastAsia="Times New Roman" w:hAnsi="Times New Roman" w:cs="Times New Roman"/>
                      <w:sz w:val="24"/>
                      <w:szCs w:val="24"/>
                      <w:lang w:eastAsia="tr-TR"/>
                    </w:rPr>
                    <w:t xml:space="preserve">.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4</w:t>
                  </w:r>
                  <w:r w:rsidRPr="00125473">
                    <w:rPr>
                      <w:rFonts w:ascii="Times New Roman" w:eastAsia="Times New Roman" w:hAnsi="Times New Roman" w:cs="Times New Roman"/>
                      <w:sz w:val="24"/>
                      <w:szCs w:val="24"/>
                      <w:lang w:eastAsia="tr-TR"/>
                    </w:rPr>
                    <w:t xml:space="preserve"> İdare tarafından ilgisine göre 4734 sayılı Kanunun 55 inci ve 56 ncı maddeleri ile İhalelere Yönelik Başvurular Hakkında Yönetmelikte belirtilen süreler veya 2577 sayılı İdari Yargılama Usulü Kanununda yer alan dava açma süresi dikkate alınarak yazılacaktır.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5</w:t>
                  </w:r>
                  <w:r w:rsidRPr="00125473">
                    <w:rPr>
                      <w:rFonts w:ascii="Times New Roman" w:eastAsia="Times New Roman" w:hAnsi="Times New Roman" w:cs="Times New Roman"/>
                      <w:sz w:val="24"/>
                      <w:szCs w:val="24"/>
                      <w:lang w:eastAsia="tr-TR"/>
                    </w:rPr>
                    <w:t xml:space="preserve"> İhalede geçerli teklif kalmaması nedeniyle ya da ihalede geçerli teklif olmakla birlikte bazı tekliflerin değerlendirme dışı bırakılması nedeniyle ihalede rekabetin oluşmadığı ve/veya kaynakların etkin kullanımının gerçekleşmediği gerekçesiyle ihalenin iptal edildiği durumlarda bu seçenek yazılacaktır.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 xml:space="preserve">Ancak aktarılan gerekçe ile ihalenin iptal edildiği durumlarda, iptal işleminden önce herhangi bir şikayet başvurusunun olması halinde, başvuru veya teklifi değerlendirme dışı bırakılan aday veya isteklinin, teklifinin geçerli olduğuna ve bu nedenle ihalenin iptal edilmemesi gerektiğine yönelik olarak doğrudan Kuruma itirazen şikayet başvurusunda bulunması da mümkün olduğundan, madde metninin her iki seçeneği ve her iki seçeneğe ilişkin (4) numaralı dipnotta belirtilen süreleri içerecek şekilde yazılması gerekmektedir.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6</w:t>
                  </w:r>
                  <w:r w:rsidRPr="00125473">
                    <w:rPr>
                      <w:rFonts w:ascii="Times New Roman" w:eastAsia="Times New Roman" w:hAnsi="Times New Roman" w:cs="Times New Roman"/>
                      <w:sz w:val="24"/>
                      <w:szCs w:val="24"/>
                      <w:lang w:eastAsia="tr-TR"/>
                    </w:rPr>
                    <w:t xml:space="preserve"> Çerçeve anlaşma ihalelerinde ihalenin iptali kararının herhangi bir şikayet veya itirazenşikayet başvurusu sonrasında alınması durumunda bu seçenek yazılacaktır.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7</w:t>
                  </w:r>
                  <w:r w:rsidRPr="00125473">
                    <w:rPr>
                      <w:rFonts w:ascii="Times New Roman" w:eastAsia="Times New Roman" w:hAnsi="Times New Roman" w:cs="Times New Roman"/>
                      <w:sz w:val="24"/>
                      <w:szCs w:val="24"/>
                      <w:lang w:eastAsia="tr-TR"/>
                    </w:rPr>
                    <w:t xml:space="preserve"> Çerçeve anlaşma ihalelerinde ihalenin iptali kararı öncesinde herhangi bir şikayet veya itirazen şikayet başvurusu bulunmaması durumunda veya münferit sözleşme aşamasında (5) numaralı dipnotta öngörülen durumlar haricinde ihalenin iptaline karar verilmesi halinde bu seçenek ve yetkili İdare Mahkemesi yazılacaktır.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8</w:t>
                  </w:r>
                  <w:r w:rsidRPr="00125473">
                    <w:rPr>
                      <w:rFonts w:ascii="Times New Roman" w:eastAsia="Times New Roman" w:hAnsi="Times New Roman" w:cs="Times New Roman"/>
                      <w:sz w:val="24"/>
                      <w:szCs w:val="24"/>
                      <w:lang w:eastAsia="tr-TR"/>
                    </w:rPr>
                    <w:t xml:space="preserve"> Kuruma yapılan itirazen şikayet başvurusu üzerine Kurul tarafından başvuru sahibinin teklifinin geçerli olduğuna dair düzeltici işlem kararının verildiği ancak idarenin ihalenin iptali kararını geri alarak düzeltici işlem kararının gereğini yerine getirmediği hallerde, ihalenin iptali kararına karşı yapılacak başvurular ile (5) ve (6) numaralı dipnotlarda belirtilen hallerin gerçekleşmediği durumlarda verilen ihalenin iptali kararlarına karşı yapılacak başvuruların doğrudan idari yargı mercilerine yapılması gerektiği belirtilecektir.”</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4 –</w:t>
                  </w:r>
                  <w:r w:rsidRPr="00125473">
                    <w:rPr>
                      <w:rFonts w:ascii="Times New Roman" w:eastAsia="Times New Roman" w:hAnsi="Times New Roman" w:cs="Times New Roman"/>
                      <w:sz w:val="24"/>
                      <w:szCs w:val="24"/>
                      <w:lang w:eastAsia="tr-TR"/>
                    </w:rPr>
                    <w:t xml:space="preserve">Aynı Yönetmeliğin eki Ek-1’de yer alan KİK016.2/Ç sayılı Tekliflerin Elektronik Ortamda Alındığı Münferit Sözleşmelerde İhale İptal Kararının Bildirilmesi Formu ile KİK016.3/Ç sayılı Tekliflerin Elektronik Ortamda Alındığı Münferit Sözleşmelerde Bütün Tekliflerin Reddedilmesi Sebebiyle İhalenin İptal Kararının Bildirilmesi Formunun son cümlesinden önce gelmek üzere aşağıdaki cümle ile buna bağlı (1), (2), (3) ve (4) numaralı dipnotlar eklenmiştir. </w:t>
                  </w:r>
                </w:p>
                <w:p w:rsidR="00125473" w:rsidRPr="00125473" w:rsidRDefault="00125473" w:rsidP="00125473">
                  <w:pPr>
                    <w:tabs>
                      <w:tab w:val="left" w:pos="566"/>
                    </w:tabs>
                    <w:spacing w:after="0" w:line="240" w:lineRule="auto"/>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“Bu kararın bildiriminden itibaren ……..</w:t>
                  </w:r>
                  <w:r w:rsidRPr="00125473">
                    <w:rPr>
                      <w:rFonts w:ascii="Times New Roman" w:eastAsia="Times New Roman" w:hAnsi="Times New Roman" w:cs="Times New Roman"/>
                      <w:sz w:val="24"/>
                      <w:szCs w:val="24"/>
                      <w:vertAlign w:val="superscript"/>
                      <w:lang w:eastAsia="tr-TR"/>
                    </w:rPr>
                    <w:t>1</w:t>
                  </w:r>
                  <w:r w:rsidRPr="00125473">
                    <w:rPr>
                      <w:rFonts w:ascii="Times New Roman" w:eastAsia="Times New Roman" w:hAnsi="Times New Roman" w:cs="Times New Roman"/>
                      <w:sz w:val="24"/>
                      <w:szCs w:val="24"/>
                      <w:lang w:eastAsia="tr-TR"/>
                    </w:rPr>
                    <w:t xml:space="preserve"> gün içinde [Kamu İhale Kurumuna itirazen şikayet başvurusunda bulunulabilir</w:t>
                  </w:r>
                  <w:r w:rsidRPr="00125473">
                    <w:rPr>
                      <w:rFonts w:ascii="Times New Roman" w:eastAsia="Times New Roman" w:hAnsi="Times New Roman" w:cs="Times New Roman"/>
                      <w:sz w:val="24"/>
                      <w:szCs w:val="24"/>
                      <w:vertAlign w:val="superscript"/>
                      <w:lang w:eastAsia="tr-TR"/>
                    </w:rPr>
                    <w:t>2</w:t>
                  </w:r>
                  <w:r w:rsidRPr="00125473">
                    <w:rPr>
                      <w:rFonts w:ascii="Times New Roman" w:eastAsia="Times New Roman" w:hAnsi="Times New Roman" w:cs="Times New Roman"/>
                      <w:sz w:val="24"/>
                      <w:szCs w:val="24"/>
                      <w:lang w:eastAsia="tr-TR"/>
                    </w:rPr>
                    <w:t>/ … …</w:t>
                  </w:r>
                  <w:r w:rsidRPr="00125473">
                    <w:rPr>
                      <w:rFonts w:ascii="Times New Roman" w:eastAsia="Times New Roman" w:hAnsi="Times New Roman" w:cs="Times New Roman"/>
                      <w:sz w:val="24"/>
                      <w:szCs w:val="24"/>
                      <w:vertAlign w:val="superscript"/>
                      <w:lang w:eastAsia="tr-TR"/>
                    </w:rPr>
                    <w:t>3</w:t>
                  </w:r>
                  <w:r w:rsidRPr="00125473">
                    <w:rPr>
                      <w:rFonts w:ascii="Times New Roman" w:eastAsia="Times New Roman" w:hAnsi="Times New Roman" w:cs="Times New Roman"/>
                      <w:sz w:val="24"/>
                      <w:szCs w:val="24"/>
                      <w:lang w:eastAsia="tr-TR"/>
                    </w:rPr>
                    <w:t xml:space="preserve"> İdare Mahkemelerinde dava açılabilir]</w:t>
                  </w:r>
                  <w:r w:rsidRPr="00125473">
                    <w:rPr>
                      <w:rFonts w:ascii="Times New Roman" w:eastAsia="Times New Roman" w:hAnsi="Times New Roman" w:cs="Times New Roman"/>
                      <w:sz w:val="24"/>
                      <w:szCs w:val="24"/>
                      <w:vertAlign w:val="superscript"/>
                      <w:lang w:eastAsia="tr-TR"/>
                    </w:rPr>
                    <w:t>4</w:t>
                  </w:r>
                  <w:r w:rsidRPr="00125473">
                    <w:rPr>
                      <w:rFonts w:ascii="Times New Roman" w:eastAsia="Times New Roman" w:hAnsi="Times New Roman" w:cs="Times New Roman"/>
                      <w:sz w:val="24"/>
                      <w:szCs w:val="24"/>
                      <w:lang w:eastAsia="tr-TR"/>
                    </w:rPr>
                    <w:t xml:space="preserve">.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1</w:t>
                  </w:r>
                  <w:r w:rsidRPr="00125473">
                    <w:rPr>
                      <w:rFonts w:ascii="Times New Roman" w:eastAsia="Times New Roman" w:hAnsi="Times New Roman" w:cs="Times New Roman"/>
                      <w:sz w:val="24"/>
                      <w:szCs w:val="24"/>
                      <w:lang w:eastAsia="tr-TR"/>
                    </w:rPr>
                    <w:t xml:space="preserve"> İdare tarafından ilgisine göre İhalelere Yönelik Başvurular Hakkında Yönetmelikte belirtilen süreler veya 2577 sayılı İdari Yargılama Usulü Kanununda yer alan dava açma süresi dikkate alınarak yazılacaktır.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2</w:t>
                  </w:r>
                  <w:r w:rsidRPr="00125473">
                    <w:rPr>
                      <w:rFonts w:ascii="Times New Roman" w:eastAsia="Times New Roman" w:hAnsi="Times New Roman" w:cs="Times New Roman"/>
                      <w:sz w:val="24"/>
                      <w:szCs w:val="24"/>
                      <w:lang w:eastAsia="tr-TR"/>
                    </w:rPr>
                    <w:t xml:space="preserve"> İhalede geçerli teklif kalmaması nedeniyle ya da ihalede geçerli teklif olmakla birlikte bazı tekliflerin değerlendirme dışı bırakılması nedeniyle ihalede rekabetin oluşmadığı ve/veya kaynakların etkin kullanımının gerçekleşmediği gerekçesiyle ihalenin iptal edildiği durumlarda bu seçenek yazılacaktır.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3</w:t>
                  </w:r>
                  <w:r w:rsidRPr="00125473">
                    <w:rPr>
                      <w:rFonts w:ascii="Times New Roman" w:eastAsia="Times New Roman" w:hAnsi="Times New Roman" w:cs="Times New Roman"/>
                      <w:sz w:val="24"/>
                      <w:szCs w:val="24"/>
                      <w:lang w:eastAsia="tr-TR"/>
                    </w:rPr>
                    <w:t xml:space="preserve"> (2) numaralı dipnotta öngörülen haller dışındaki iptal kararlarında bu seçenek ve yetkili İdare Mahkemesi yazılacaktır.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vertAlign w:val="superscript"/>
                      <w:lang w:eastAsia="tr-TR"/>
                    </w:rPr>
                    <w:t>4</w:t>
                  </w:r>
                  <w:r w:rsidRPr="00125473">
                    <w:rPr>
                      <w:rFonts w:ascii="Times New Roman" w:eastAsia="Times New Roman" w:hAnsi="Times New Roman" w:cs="Times New Roman"/>
                      <w:sz w:val="24"/>
                      <w:szCs w:val="24"/>
                      <w:lang w:eastAsia="tr-TR"/>
                    </w:rPr>
                    <w:t xml:space="preserve"> Kuruma yapılan itirazen şikayet başvurusu üzerine Kurul tarafından başvuru sahibinin teklifinin geçerli olduğuna dair düzeltici işlem kararının verildiği ancak idarenin ihalenin iptali kararını geri alarak düzeltici işlem kararının gereğini yerine getirmediği hallerde, ihalenin iptali kararına karşı yapılacak başvuruların doğrudan idari yargı mercilerine yapılması gerektiği belirtilecektir.”</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5 –</w:t>
                  </w:r>
                  <w:r w:rsidRPr="00125473">
                    <w:rPr>
                      <w:rFonts w:ascii="Times New Roman" w:eastAsia="Times New Roman" w:hAnsi="Times New Roman" w:cs="Times New Roman"/>
                      <w:sz w:val="24"/>
                      <w:szCs w:val="24"/>
                      <w:lang w:eastAsia="tr-TR"/>
                    </w:rPr>
                    <w:t>Aynı Yönetmeliğin eki Ek-1’de yer alan KİK019.0/Ç sayılı Münferit Sözleşmeye Davet Formunda yer alan “elektronik posta yoluyla” ibaresi “EKAP üzerinden” şeklinde değiştirilmiş, aynı formun (1) numaralı dipnotunda yer alan “Elektronik posta yoluyla veya” ibaresi yürürlükten kaldırılmıştır.</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6 –</w:t>
                  </w:r>
                  <w:r w:rsidRPr="00125473">
                    <w:rPr>
                      <w:rFonts w:ascii="Times New Roman" w:eastAsia="Times New Roman" w:hAnsi="Times New Roman" w:cs="Times New Roman"/>
                      <w:sz w:val="24"/>
                      <w:szCs w:val="24"/>
                      <w:lang w:eastAsia="tr-TR"/>
                    </w:rPr>
                    <w:t xml:space="preserve">Aynı Yönetmeliğin eki Ek-2’de yer alan Çerçeve Anlaşma İhalelerinde Uygulanacak Tip İdari Şartnamenin 4 üncü maddesinin başlığı “İhale dokümanının görülmesi ve temini ile EKAP’a kayıt zorunluluğu” şeklinde değiştirilmiş ve maddenin sonuna aşağıdaki madde eklenmiştir.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w:t>
                  </w:r>
                  <w:r w:rsidRPr="00125473">
                    <w:rPr>
                      <w:rFonts w:ascii="Times New Roman" w:eastAsia="Times New Roman" w:hAnsi="Times New Roman" w:cs="Times New Roman"/>
                      <w:b/>
                      <w:sz w:val="24"/>
                      <w:szCs w:val="24"/>
                      <w:lang w:eastAsia="tr-TR"/>
                    </w:rPr>
                    <w:t>4.5.</w:t>
                  </w:r>
                  <w:r w:rsidRPr="00125473">
                    <w:rPr>
                      <w:rFonts w:ascii="Times New Roman" w:eastAsia="Times New Roman" w:hAnsi="Times New Roman" w:cs="Times New Roman"/>
                      <w:sz w:val="24"/>
                      <w:szCs w:val="24"/>
                      <w:lang w:eastAsia="tr-TR"/>
                    </w:rPr>
                    <w:t xml:space="preserve"> İdarelerin ve adına ihale dokümanı satın alınacak Türkiye Cumhuriyeti kanunlarına göre kurulmuş tüzel kişiler ile Türkiye Cumhuriyeti vatandaşı gerçek kişilerin EKAP’a kayıtlı olması zorunludur. Ortak girişimlerde ise Türkiye Cumhuriyeti kanunlarına göre kurulmuş tüzel kişi ve Türkiye Cumhuriyeti vatandaşı gerçek kişi ortakların tamamının bu koşulu sağlaması gerekir.” </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 xml:space="preserve">MADDE 7 – </w:t>
                  </w:r>
                  <w:r w:rsidRPr="00125473">
                    <w:rPr>
                      <w:rFonts w:ascii="Times New Roman" w:eastAsia="Times New Roman" w:hAnsi="Times New Roman" w:cs="Times New Roman"/>
                      <w:sz w:val="24"/>
                      <w:szCs w:val="24"/>
                      <w:lang w:eastAsia="tr-TR"/>
                    </w:rPr>
                    <w:t xml:space="preserve">Aynı Yönetmeliğin eki Ek-2’de yer alan Çerçeve Anlaşma İhalelerinde Uygulanacak Tip İdari Şartnameye 6.7. maddeden sonra gelmek üzere aşağıdaki madde eklenmiştir. </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w:t>
                  </w:r>
                  <w:r w:rsidRPr="00125473">
                    <w:rPr>
                      <w:rFonts w:ascii="Times New Roman" w:eastAsia="Times New Roman" w:hAnsi="Times New Roman" w:cs="Times New Roman"/>
                      <w:b/>
                      <w:sz w:val="24"/>
                      <w:szCs w:val="24"/>
                      <w:lang w:eastAsia="tr-TR"/>
                    </w:rPr>
                    <w:t>6.8.</w:t>
                  </w:r>
                  <w:r w:rsidRPr="00125473">
                    <w:rPr>
                      <w:rFonts w:ascii="Times New Roman" w:eastAsia="Times New Roman" w:hAnsi="Times New Roman" w:cs="Times New Roman"/>
                      <w:sz w:val="24"/>
                      <w:szCs w:val="24"/>
                      <w:lang w:eastAsia="tr-TR"/>
                    </w:rPr>
                    <w:t xml:space="preserve"> Tekliflerin elektronik ortamda alınmasına karar verilen münferit sözleşmelerde ise tebligat sadece EKAP üzerinden yapılır.”</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8 –</w:t>
                  </w:r>
                  <w:r w:rsidRPr="00125473">
                    <w:rPr>
                      <w:rFonts w:ascii="Times New Roman" w:eastAsia="Times New Roman" w:hAnsi="Times New Roman" w:cs="Times New Roman"/>
                      <w:sz w:val="24"/>
                      <w:szCs w:val="24"/>
                      <w:lang w:eastAsia="tr-TR"/>
                    </w:rPr>
                    <w:t>Aynı Yönetmeliğin eki Ek-2’de yer alan Çerçeve Anlaşma İhalelerinde Uygulanacak Tip İdari Şartnamenin 7.1 inci maddesinin (ğ) bendine “yeminli mali müşavir” ibaresinden önce gelmek üzere “serbest muhasebeci,” ibaresi eklenmiştir.</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9 –</w:t>
                  </w:r>
                  <w:r w:rsidRPr="00125473">
                    <w:rPr>
                      <w:rFonts w:ascii="Times New Roman" w:eastAsia="Times New Roman" w:hAnsi="Times New Roman" w:cs="Times New Roman"/>
                      <w:sz w:val="24"/>
                      <w:szCs w:val="24"/>
                      <w:lang w:eastAsia="tr-TR"/>
                    </w:rPr>
                    <w:t>Aynı Yönetmeliğin eki Ek-3’te yer alan Mal ve Hizmet Alımları İle Yapım İşlerine Ait Tip Çerçeve Anlaşmaya 3.7. maddeden sonra gelmek üzere aşağıdaki madde eklenmiştir.</w:t>
                  </w: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w:t>
                  </w:r>
                  <w:r w:rsidRPr="00125473">
                    <w:rPr>
                      <w:rFonts w:ascii="Times New Roman" w:eastAsia="Times New Roman" w:hAnsi="Times New Roman" w:cs="Times New Roman"/>
                      <w:b/>
                      <w:sz w:val="24"/>
                      <w:szCs w:val="24"/>
                      <w:lang w:eastAsia="tr-TR"/>
                    </w:rPr>
                    <w:t>3.8.</w:t>
                  </w:r>
                  <w:r w:rsidRPr="00125473">
                    <w:rPr>
                      <w:rFonts w:ascii="Times New Roman" w:eastAsia="Times New Roman" w:hAnsi="Times New Roman" w:cs="Times New Roman"/>
                      <w:sz w:val="24"/>
                      <w:szCs w:val="24"/>
                      <w:lang w:eastAsia="tr-TR"/>
                    </w:rPr>
                    <w:t xml:space="preserve"> Tekliflerin elektronik ortamda alınmasına karar verilen münferit sözleşmelerde ise tebligat sadece EKAP üzerinden yapılır.”</w:t>
                  </w:r>
                </w:p>
                <w:p w:rsidR="00125473" w:rsidRDefault="00125473" w:rsidP="00125473">
                  <w:pPr>
                    <w:tabs>
                      <w:tab w:val="left" w:pos="566"/>
                    </w:tabs>
                    <w:spacing w:after="0" w:line="240" w:lineRule="auto"/>
                    <w:ind w:firstLine="566"/>
                    <w:jc w:val="both"/>
                    <w:rPr>
                      <w:rFonts w:ascii="Times New Roman" w:eastAsia="Times New Roman" w:hAnsi="Times New Roman" w:cs="Times New Roman"/>
                      <w:b/>
                      <w:sz w:val="24"/>
                      <w:szCs w:val="24"/>
                      <w:lang w:eastAsia="tr-TR"/>
                    </w:rPr>
                  </w:pPr>
                </w:p>
                <w:p w:rsidR="00125473" w:rsidRPr="00125473" w:rsidRDefault="00125473" w:rsidP="00125473">
                  <w:pPr>
                    <w:tabs>
                      <w:tab w:val="left" w:pos="566"/>
                    </w:tabs>
                    <w:spacing w:after="0" w:line="240" w:lineRule="auto"/>
                    <w:ind w:firstLine="566"/>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10 –</w:t>
                  </w:r>
                  <w:r w:rsidRPr="00125473">
                    <w:rPr>
                      <w:rFonts w:ascii="Times New Roman" w:eastAsia="Times New Roman" w:hAnsi="Times New Roman" w:cs="Times New Roman"/>
                      <w:sz w:val="24"/>
                      <w:szCs w:val="24"/>
                      <w:lang w:eastAsia="tr-TR"/>
                    </w:rPr>
                    <w:t>Bu Yönetmelik yayımı tarihinde yürürlüğe girer.</w:t>
                  </w:r>
                </w:p>
                <w:p w:rsidR="00125473" w:rsidRDefault="00125473" w:rsidP="00125473">
                  <w:pPr>
                    <w:tabs>
                      <w:tab w:val="left" w:pos="566"/>
                    </w:tabs>
                    <w:spacing w:line="240" w:lineRule="auto"/>
                    <w:ind w:firstLine="567"/>
                    <w:jc w:val="both"/>
                    <w:rPr>
                      <w:rFonts w:ascii="Times New Roman" w:eastAsia="Times New Roman" w:hAnsi="Times New Roman" w:cs="Times New Roman"/>
                      <w:b/>
                      <w:sz w:val="24"/>
                      <w:szCs w:val="24"/>
                      <w:lang w:eastAsia="tr-TR"/>
                    </w:rPr>
                  </w:pPr>
                </w:p>
                <w:p w:rsidR="00125473" w:rsidRDefault="00125473" w:rsidP="00125473">
                  <w:pPr>
                    <w:tabs>
                      <w:tab w:val="left" w:pos="566"/>
                    </w:tabs>
                    <w:spacing w:line="240" w:lineRule="auto"/>
                    <w:ind w:firstLine="567"/>
                    <w:jc w:val="both"/>
                    <w:rPr>
                      <w:rFonts w:ascii="Times New Roman" w:eastAsia="Times New Roman" w:hAnsi="Times New Roman" w:cs="Times New Roman"/>
                      <w:sz w:val="24"/>
                      <w:szCs w:val="24"/>
                      <w:lang w:eastAsia="tr-TR"/>
                    </w:rPr>
                  </w:pPr>
                  <w:r w:rsidRPr="00125473">
                    <w:rPr>
                      <w:rFonts w:ascii="Times New Roman" w:eastAsia="Times New Roman" w:hAnsi="Times New Roman" w:cs="Times New Roman"/>
                      <w:b/>
                      <w:sz w:val="24"/>
                      <w:szCs w:val="24"/>
                      <w:lang w:eastAsia="tr-TR"/>
                    </w:rPr>
                    <w:t>MADDE 11 –</w:t>
                  </w:r>
                  <w:r w:rsidRPr="00125473">
                    <w:rPr>
                      <w:rFonts w:ascii="Times New Roman" w:eastAsia="Times New Roman" w:hAnsi="Times New Roman" w:cs="Times New Roman"/>
                      <w:sz w:val="24"/>
                      <w:szCs w:val="24"/>
                      <w:lang w:eastAsia="tr-TR"/>
                    </w:rPr>
                    <w:t xml:space="preserve"> Bu Yönetmelik hükümlerini Kamu İhale Kurumu Başkanı yürütür.</w:t>
                  </w:r>
                </w:p>
                <w:p w:rsidR="00125473" w:rsidRPr="00125473" w:rsidRDefault="00125473" w:rsidP="00125473">
                  <w:pPr>
                    <w:tabs>
                      <w:tab w:val="left" w:pos="566"/>
                    </w:tabs>
                    <w:spacing w:line="240" w:lineRule="auto"/>
                    <w:ind w:firstLine="567"/>
                    <w:jc w:val="both"/>
                    <w:rPr>
                      <w:rFonts w:ascii="Times New Roman" w:eastAsia="Times New Roman" w:hAnsi="Times New Roman" w:cs="Times New Roman"/>
                      <w:sz w:val="24"/>
                      <w:szCs w:val="24"/>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3817"/>
                    <w:gridCol w:w="4251"/>
                  </w:tblGrid>
                  <w:tr w:rsidR="00125473" w:rsidRPr="00125473">
                    <w:trPr>
                      <w:jc w:val="center"/>
                    </w:trPr>
                    <w:tc>
                      <w:tcPr>
                        <w:tcW w:w="8505" w:type="dxa"/>
                        <w:gridSpan w:val="3"/>
                        <w:tcBorders>
                          <w:top w:val="single" w:sz="4" w:space="0" w:color="auto"/>
                          <w:left w:val="single" w:sz="4" w:space="0" w:color="auto"/>
                          <w:bottom w:val="nil"/>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b/>
                            <w:sz w:val="24"/>
                            <w:szCs w:val="24"/>
                          </w:rPr>
                        </w:pPr>
                        <w:r w:rsidRPr="00125473">
                          <w:rPr>
                            <w:rFonts w:ascii="Times New Roman" w:eastAsia="Times New Roman" w:hAnsi="Times New Roman" w:cs="Times New Roman"/>
                            <w:b/>
                            <w:sz w:val="24"/>
                            <w:szCs w:val="24"/>
                          </w:rPr>
                          <w:t>Yönetmeliğin Yayımlandığı Resmî Gazete'nin</w:t>
                        </w:r>
                      </w:p>
                    </w:tc>
                  </w:tr>
                  <w:tr w:rsidR="00125473" w:rsidRPr="00125473">
                    <w:trPr>
                      <w:jc w:val="center"/>
                    </w:trPr>
                    <w:tc>
                      <w:tcPr>
                        <w:tcW w:w="4254" w:type="dxa"/>
                        <w:gridSpan w:val="2"/>
                        <w:tcBorders>
                          <w:top w:val="nil"/>
                          <w:left w:val="single" w:sz="4" w:space="0" w:color="auto"/>
                          <w:bottom w:val="single" w:sz="4" w:space="0" w:color="auto"/>
                          <w:right w:val="nil"/>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b/>
                            <w:sz w:val="24"/>
                            <w:szCs w:val="24"/>
                          </w:rPr>
                        </w:pPr>
                        <w:r w:rsidRPr="00125473">
                          <w:rPr>
                            <w:rFonts w:ascii="Times New Roman" w:eastAsia="Times New Roman" w:hAnsi="Times New Roman" w:cs="Times New Roman"/>
                            <w:b/>
                            <w:sz w:val="24"/>
                            <w:szCs w:val="24"/>
                          </w:rPr>
                          <w:t>Tarihi</w:t>
                        </w:r>
                      </w:p>
                    </w:tc>
                    <w:tc>
                      <w:tcPr>
                        <w:tcW w:w="4251" w:type="dxa"/>
                        <w:tcBorders>
                          <w:top w:val="nil"/>
                          <w:left w:val="nil"/>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b/>
                            <w:sz w:val="24"/>
                            <w:szCs w:val="24"/>
                          </w:rPr>
                        </w:pPr>
                        <w:r w:rsidRPr="00125473">
                          <w:rPr>
                            <w:rFonts w:ascii="Times New Roman" w:eastAsia="Times New Roman" w:hAnsi="Times New Roman" w:cs="Times New Roman"/>
                            <w:b/>
                            <w:sz w:val="24"/>
                            <w:szCs w:val="24"/>
                          </w:rPr>
                          <w:t>Sayısı</w:t>
                        </w:r>
                      </w:p>
                    </w:tc>
                  </w:tr>
                  <w:tr w:rsidR="00125473" w:rsidRPr="00125473">
                    <w:trPr>
                      <w:jc w:val="center"/>
                    </w:trPr>
                    <w:tc>
                      <w:tcPr>
                        <w:tcW w:w="4254" w:type="dxa"/>
                        <w:gridSpan w:val="2"/>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4/3/2009</w:t>
                        </w:r>
                      </w:p>
                    </w:tc>
                    <w:tc>
                      <w:tcPr>
                        <w:tcW w:w="4251"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27159 (Mükerrer)</w:t>
                        </w:r>
                      </w:p>
                    </w:tc>
                  </w:tr>
                  <w:tr w:rsidR="00125473" w:rsidRPr="00125473">
                    <w:trPr>
                      <w:jc w:val="center"/>
                    </w:trPr>
                    <w:tc>
                      <w:tcPr>
                        <w:tcW w:w="8505" w:type="dxa"/>
                        <w:gridSpan w:val="3"/>
                        <w:tcBorders>
                          <w:top w:val="single" w:sz="4" w:space="0" w:color="auto"/>
                          <w:left w:val="single" w:sz="4" w:space="0" w:color="auto"/>
                          <w:bottom w:val="nil"/>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b/>
                            <w:sz w:val="24"/>
                            <w:szCs w:val="24"/>
                          </w:rPr>
                        </w:pPr>
                        <w:r w:rsidRPr="00125473">
                          <w:rPr>
                            <w:rFonts w:ascii="Times New Roman" w:eastAsia="Times New Roman" w:hAnsi="Times New Roman" w:cs="Times New Roman"/>
                            <w:b/>
                            <w:sz w:val="24"/>
                            <w:szCs w:val="24"/>
                          </w:rPr>
                          <w:t>Yönetmelikte Değişiklik Yapan Yönetmeliklerin Yayımlandığı Resmî Gazete'nin</w:t>
                        </w:r>
                      </w:p>
                    </w:tc>
                  </w:tr>
                  <w:tr w:rsidR="00125473" w:rsidRPr="00125473">
                    <w:trPr>
                      <w:jc w:val="center"/>
                    </w:trPr>
                    <w:tc>
                      <w:tcPr>
                        <w:tcW w:w="4254" w:type="dxa"/>
                        <w:gridSpan w:val="2"/>
                        <w:tcBorders>
                          <w:top w:val="nil"/>
                          <w:left w:val="single" w:sz="4" w:space="0" w:color="auto"/>
                          <w:bottom w:val="single" w:sz="4" w:space="0" w:color="auto"/>
                          <w:right w:val="nil"/>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b/>
                            <w:sz w:val="24"/>
                            <w:szCs w:val="24"/>
                          </w:rPr>
                        </w:pPr>
                        <w:r w:rsidRPr="00125473">
                          <w:rPr>
                            <w:rFonts w:ascii="Times New Roman" w:eastAsia="Times New Roman" w:hAnsi="Times New Roman" w:cs="Times New Roman"/>
                            <w:b/>
                            <w:sz w:val="24"/>
                            <w:szCs w:val="24"/>
                          </w:rPr>
                          <w:t>Tarihi</w:t>
                        </w:r>
                      </w:p>
                    </w:tc>
                    <w:tc>
                      <w:tcPr>
                        <w:tcW w:w="4251" w:type="dxa"/>
                        <w:tcBorders>
                          <w:top w:val="nil"/>
                          <w:left w:val="nil"/>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b/>
                            <w:sz w:val="24"/>
                            <w:szCs w:val="24"/>
                          </w:rPr>
                        </w:pPr>
                        <w:r w:rsidRPr="00125473">
                          <w:rPr>
                            <w:rFonts w:ascii="Times New Roman" w:eastAsia="Times New Roman" w:hAnsi="Times New Roman" w:cs="Times New Roman"/>
                            <w:b/>
                            <w:sz w:val="24"/>
                            <w:szCs w:val="24"/>
                          </w:rPr>
                          <w:t>Sayısı</w:t>
                        </w:r>
                      </w:p>
                    </w:tc>
                  </w:tr>
                  <w:tr w:rsidR="00125473" w:rsidRPr="00125473">
                    <w:trPr>
                      <w:jc w:val="center"/>
                    </w:trPr>
                    <w:tc>
                      <w:tcPr>
                        <w:tcW w:w="437"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1-</w:t>
                        </w:r>
                      </w:p>
                    </w:tc>
                    <w:tc>
                      <w:tcPr>
                        <w:tcW w:w="3817"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1009"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3/7/2009</w:t>
                        </w:r>
                      </w:p>
                    </w:tc>
                    <w:tc>
                      <w:tcPr>
                        <w:tcW w:w="4251"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580"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27277</w:t>
                        </w:r>
                      </w:p>
                    </w:tc>
                  </w:tr>
                  <w:tr w:rsidR="00125473" w:rsidRPr="00125473">
                    <w:trPr>
                      <w:jc w:val="center"/>
                    </w:trPr>
                    <w:tc>
                      <w:tcPr>
                        <w:tcW w:w="437"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2-</w:t>
                        </w:r>
                      </w:p>
                    </w:tc>
                    <w:tc>
                      <w:tcPr>
                        <w:tcW w:w="3817"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1009"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16/3/2011</w:t>
                        </w:r>
                      </w:p>
                    </w:tc>
                    <w:tc>
                      <w:tcPr>
                        <w:tcW w:w="4251"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580"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27876</w:t>
                        </w:r>
                      </w:p>
                    </w:tc>
                  </w:tr>
                  <w:tr w:rsidR="00125473" w:rsidRPr="00125473">
                    <w:trPr>
                      <w:jc w:val="center"/>
                    </w:trPr>
                    <w:tc>
                      <w:tcPr>
                        <w:tcW w:w="437"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3-</w:t>
                        </w:r>
                      </w:p>
                    </w:tc>
                    <w:tc>
                      <w:tcPr>
                        <w:tcW w:w="3817"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1009"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8/9/2011</w:t>
                        </w:r>
                      </w:p>
                    </w:tc>
                    <w:tc>
                      <w:tcPr>
                        <w:tcW w:w="4251"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580"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28048</w:t>
                        </w:r>
                      </w:p>
                    </w:tc>
                  </w:tr>
                  <w:tr w:rsidR="00125473" w:rsidRPr="00125473">
                    <w:trPr>
                      <w:jc w:val="center"/>
                    </w:trPr>
                    <w:tc>
                      <w:tcPr>
                        <w:tcW w:w="437"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4-</w:t>
                        </w:r>
                      </w:p>
                    </w:tc>
                    <w:tc>
                      <w:tcPr>
                        <w:tcW w:w="3817"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1009"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14/11/2012</w:t>
                        </w:r>
                      </w:p>
                    </w:tc>
                    <w:tc>
                      <w:tcPr>
                        <w:tcW w:w="4251"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580"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28467</w:t>
                        </w:r>
                      </w:p>
                    </w:tc>
                  </w:tr>
                  <w:tr w:rsidR="00125473" w:rsidRPr="00125473">
                    <w:trPr>
                      <w:jc w:val="center"/>
                    </w:trPr>
                    <w:tc>
                      <w:tcPr>
                        <w:tcW w:w="437"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5-</w:t>
                        </w:r>
                      </w:p>
                    </w:tc>
                    <w:tc>
                      <w:tcPr>
                        <w:tcW w:w="3817"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1009"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13/4/2013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580"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28617</w:t>
                        </w:r>
                      </w:p>
                    </w:tc>
                  </w:tr>
                  <w:tr w:rsidR="00125473" w:rsidRPr="00125473">
                    <w:trPr>
                      <w:jc w:val="center"/>
                    </w:trPr>
                    <w:tc>
                      <w:tcPr>
                        <w:tcW w:w="437"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6-</w:t>
                        </w:r>
                      </w:p>
                    </w:tc>
                    <w:tc>
                      <w:tcPr>
                        <w:tcW w:w="3817"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1009"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24/9/2013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580"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28775</w:t>
                        </w:r>
                      </w:p>
                    </w:tc>
                  </w:tr>
                  <w:tr w:rsidR="00125473" w:rsidRPr="00125473">
                    <w:trPr>
                      <w:jc w:val="center"/>
                    </w:trPr>
                    <w:tc>
                      <w:tcPr>
                        <w:tcW w:w="437"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7-</w:t>
                        </w:r>
                      </w:p>
                    </w:tc>
                    <w:tc>
                      <w:tcPr>
                        <w:tcW w:w="3817"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1009"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28/11/2013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580"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28835</w:t>
                        </w:r>
                      </w:p>
                    </w:tc>
                  </w:tr>
                  <w:tr w:rsidR="00125473" w:rsidRPr="00125473">
                    <w:trPr>
                      <w:jc w:val="center"/>
                    </w:trPr>
                    <w:tc>
                      <w:tcPr>
                        <w:tcW w:w="437" w:type="dxa"/>
                        <w:tcBorders>
                          <w:top w:val="single" w:sz="4" w:space="0" w:color="auto"/>
                          <w:left w:val="single" w:sz="4" w:space="0" w:color="auto"/>
                          <w:bottom w:val="single" w:sz="4" w:space="0" w:color="auto"/>
                          <w:right w:val="single" w:sz="4" w:space="0" w:color="auto"/>
                        </w:tcBorders>
                        <w:hideMark/>
                      </w:tcPr>
                      <w:p w:rsidR="00125473" w:rsidRPr="00125473" w:rsidRDefault="00125473" w:rsidP="00125473">
                        <w:pPr>
                          <w:tabs>
                            <w:tab w:val="left" w:pos="566"/>
                          </w:tabs>
                          <w:spacing w:after="0" w:line="240" w:lineRule="exact"/>
                          <w:jc w:val="center"/>
                          <w:rPr>
                            <w:rFonts w:ascii="Times New Roman" w:eastAsia="Times New Roman" w:hAnsi="Times New Roman" w:cs="Times New Roman"/>
                            <w:sz w:val="24"/>
                            <w:szCs w:val="24"/>
                          </w:rPr>
                        </w:pPr>
                        <w:r w:rsidRPr="00125473">
                          <w:rPr>
                            <w:rFonts w:ascii="Times New Roman" w:eastAsia="Times New Roman" w:hAnsi="Times New Roman" w:cs="Times New Roman"/>
                            <w:sz w:val="24"/>
                            <w:szCs w:val="24"/>
                          </w:rPr>
                          <w:t>8-</w:t>
                        </w:r>
                      </w:p>
                    </w:tc>
                    <w:tc>
                      <w:tcPr>
                        <w:tcW w:w="3817"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1009"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16/8/2014</w:t>
                        </w:r>
                      </w:p>
                    </w:tc>
                    <w:tc>
                      <w:tcPr>
                        <w:tcW w:w="4251" w:type="dxa"/>
                        <w:tcBorders>
                          <w:top w:val="single" w:sz="4" w:space="0" w:color="auto"/>
                          <w:left w:val="single" w:sz="4" w:space="0" w:color="auto"/>
                          <w:bottom w:val="single" w:sz="4" w:space="0" w:color="auto"/>
                          <w:right w:val="single" w:sz="4" w:space="0" w:color="auto"/>
                        </w:tcBorders>
                        <w:vAlign w:val="center"/>
                        <w:hideMark/>
                      </w:tcPr>
                      <w:p w:rsidR="00125473" w:rsidRPr="00125473" w:rsidRDefault="00125473" w:rsidP="00125473">
                        <w:pPr>
                          <w:spacing w:before="100" w:beforeAutospacing="1" w:after="100" w:afterAutospacing="1" w:line="300" w:lineRule="atLeast"/>
                          <w:ind w:right="580" w:firstLine="567"/>
                          <w:jc w:val="center"/>
                          <w:rPr>
                            <w:rFonts w:ascii="Times New Roman" w:eastAsia="Times New Roman" w:hAnsi="Times New Roman" w:cs="Times New Roman"/>
                            <w:sz w:val="24"/>
                            <w:szCs w:val="24"/>
                            <w:lang w:eastAsia="tr-TR"/>
                          </w:rPr>
                        </w:pPr>
                        <w:r w:rsidRPr="00125473">
                          <w:rPr>
                            <w:rFonts w:ascii="Times New Roman" w:eastAsia="Times New Roman" w:hAnsi="Times New Roman" w:cs="Times New Roman"/>
                            <w:sz w:val="24"/>
                            <w:szCs w:val="24"/>
                            <w:lang w:eastAsia="tr-TR"/>
                          </w:rPr>
                          <w:t>29090</w:t>
                        </w:r>
                      </w:p>
                    </w:tc>
                  </w:tr>
                </w:tbl>
                <w:p w:rsidR="00125473" w:rsidRPr="00125473" w:rsidRDefault="00125473" w:rsidP="00125473">
                  <w:pPr>
                    <w:spacing w:before="100" w:beforeAutospacing="1" w:after="100" w:afterAutospacing="1" w:line="240" w:lineRule="auto"/>
                    <w:rPr>
                      <w:rFonts w:ascii="Arial" w:eastAsia="Times New Roman" w:hAnsi="Arial" w:cs="Arial"/>
                      <w:b/>
                      <w:color w:val="000080"/>
                      <w:sz w:val="24"/>
                      <w:szCs w:val="24"/>
                      <w:lang w:eastAsia="tr-TR"/>
                    </w:rPr>
                  </w:pPr>
                </w:p>
              </w:tc>
            </w:tr>
          </w:tbl>
          <w:p w:rsidR="00125473" w:rsidRPr="00125473" w:rsidRDefault="00125473" w:rsidP="00125473">
            <w:pPr>
              <w:spacing w:after="0" w:line="240" w:lineRule="auto"/>
              <w:jc w:val="center"/>
              <w:rPr>
                <w:rFonts w:ascii="Times New Roman" w:eastAsia="Times New Roman" w:hAnsi="Times New Roman" w:cs="Times New Roman"/>
                <w:sz w:val="24"/>
                <w:szCs w:val="24"/>
                <w:lang w:eastAsia="tr-TR"/>
              </w:rPr>
            </w:pPr>
          </w:p>
        </w:tc>
      </w:tr>
    </w:tbl>
    <w:p w:rsidR="00125473" w:rsidRPr="00125473" w:rsidRDefault="00125473" w:rsidP="00125473">
      <w:pPr>
        <w:spacing w:after="0" w:line="240" w:lineRule="auto"/>
        <w:jc w:val="center"/>
        <w:rPr>
          <w:rFonts w:ascii="Times New Roman" w:eastAsia="Times New Roman" w:hAnsi="Times New Roman" w:cs="Times New Roman"/>
          <w:sz w:val="24"/>
          <w:szCs w:val="24"/>
          <w:lang w:eastAsia="tr-TR"/>
        </w:rPr>
      </w:pPr>
    </w:p>
    <w:p w:rsidR="00D93C4B" w:rsidRDefault="00D93C4B"/>
    <w:sectPr w:rsidR="00D93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18F"/>
    <w:rsid w:val="00125473"/>
    <w:rsid w:val="007D05C4"/>
    <w:rsid w:val="00AE7F65"/>
    <w:rsid w:val="00D1518F"/>
    <w:rsid w:val="00D9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D1518F"/>
    <w:pPr>
      <w:spacing w:after="0" w:line="240" w:lineRule="auto"/>
      <w:jc w:val="center"/>
    </w:pPr>
    <w:rPr>
      <w:rFonts w:ascii="Times New Roman" w:eastAsia="ヒラギノ明朝 Pro W3" w:hAnsi="Times" w:cs="Times New Roman"/>
      <w:b/>
      <w:sz w:val="19"/>
      <w:szCs w:val="20"/>
    </w:rPr>
  </w:style>
  <w:style w:type="paragraph" w:styleId="NormalWeb">
    <w:name w:val="Normal (Web)"/>
    <w:basedOn w:val="Normal"/>
    <w:uiPriority w:val="99"/>
    <w:unhideWhenUsed/>
    <w:rsid w:val="00125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125473"/>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125473"/>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3-NormalYaz">
    <w:name w:val="3-Normal Yazı"/>
    <w:rsid w:val="00125473"/>
    <w:pPr>
      <w:tabs>
        <w:tab w:val="left" w:pos="566"/>
      </w:tabs>
      <w:spacing w:after="0" w:line="240" w:lineRule="auto"/>
      <w:jc w:val="both"/>
    </w:pPr>
    <w:rPr>
      <w:rFonts w:ascii="Times New Roman" w:eastAsia="Times New Roman" w:hAnsi="Times New Roman"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D1518F"/>
    <w:pPr>
      <w:spacing w:after="0" w:line="240" w:lineRule="auto"/>
      <w:jc w:val="center"/>
    </w:pPr>
    <w:rPr>
      <w:rFonts w:ascii="Times New Roman" w:eastAsia="ヒラギノ明朝 Pro W3" w:hAnsi="Times" w:cs="Times New Roman"/>
      <w:b/>
      <w:sz w:val="19"/>
      <w:szCs w:val="20"/>
    </w:rPr>
  </w:style>
  <w:style w:type="paragraph" w:styleId="NormalWeb">
    <w:name w:val="Normal (Web)"/>
    <w:basedOn w:val="Normal"/>
    <w:uiPriority w:val="99"/>
    <w:unhideWhenUsed/>
    <w:rsid w:val="001254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 Başlık Bold"/>
    <w:rsid w:val="00125473"/>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125473"/>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3-NormalYaz">
    <w:name w:val="3-Normal Yazı"/>
    <w:rsid w:val="00125473"/>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38759">
      <w:bodyDiv w:val="1"/>
      <w:marLeft w:val="0"/>
      <w:marRight w:val="0"/>
      <w:marTop w:val="0"/>
      <w:marBottom w:val="0"/>
      <w:divBdr>
        <w:top w:val="none" w:sz="0" w:space="0" w:color="auto"/>
        <w:left w:val="none" w:sz="0" w:space="0" w:color="auto"/>
        <w:bottom w:val="none" w:sz="0" w:space="0" w:color="auto"/>
        <w:right w:val="none" w:sz="0" w:space="0" w:color="auto"/>
      </w:divBdr>
    </w:div>
    <w:div w:id="1565027924">
      <w:bodyDiv w:val="1"/>
      <w:marLeft w:val="0"/>
      <w:marRight w:val="0"/>
      <w:marTop w:val="0"/>
      <w:marBottom w:val="0"/>
      <w:divBdr>
        <w:top w:val="none" w:sz="0" w:space="0" w:color="auto"/>
        <w:left w:val="none" w:sz="0" w:space="0" w:color="auto"/>
        <w:bottom w:val="none" w:sz="0" w:space="0" w:color="auto"/>
        <w:right w:val="none" w:sz="0" w:space="0" w:color="auto"/>
      </w:divBdr>
      <w:divsChild>
        <w:div w:id="1905792691">
          <w:marLeft w:val="0"/>
          <w:marRight w:val="0"/>
          <w:marTop w:val="0"/>
          <w:marBottom w:val="0"/>
          <w:divBdr>
            <w:top w:val="none" w:sz="0" w:space="0" w:color="auto"/>
            <w:left w:val="none" w:sz="0" w:space="0" w:color="auto"/>
            <w:bottom w:val="none" w:sz="0" w:space="0" w:color="auto"/>
            <w:right w:val="none" w:sz="0" w:space="0" w:color="auto"/>
          </w:divBdr>
          <w:divsChild>
            <w:div w:id="328598144">
              <w:marLeft w:val="0"/>
              <w:marRight w:val="0"/>
              <w:marTop w:val="0"/>
              <w:marBottom w:val="0"/>
              <w:divBdr>
                <w:top w:val="none" w:sz="0" w:space="0" w:color="auto"/>
                <w:left w:val="none" w:sz="0" w:space="0" w:color="auto"/>
                <w:bottom w:val="none" w:sz="0" w:space="0" w:color="auto"/>
                <w:right w:val="none" w:sz="0" w:space="0" w:color="auto"/>
              </w:divBdr>
              <w:divsChild>
                <w:div w:id="16401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8974</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PACKARDBELL</cp:lastModifiedBy>
  <cp:revision>2</cp:revision>
  <dcterms:created xsi:type="dcterms:W3CDTF">2015-06-14T09:41:00Z</dcterms:created>
  <dcterms:modified xsi:type="dcterms:W3CDTF">2015-06-14T09:41:00Z</dcterms:modified>
</cp:coreProperties>
</file>